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F5ACD" w14:textId="0DA657E3" w:rsidR="00157402" w:rsidRPr="0046401F" w:rsidRDefault="00184338" w:rsidP="00890064">
      <w:pPr>
        <w:pStyle w:val="UmURubrik1"/>
        <w:spacing w:after="0" w:line="240" w:lineRule="auto"/>
        <w:rPr>
          <w:b/>
          <w:i/>
          <w:szCs w:val="32"/>
        </w:rPr>
      </w:pPr>
      <w:r>
        <w:rPr>
          <w:b/>
          <w:noProof/>
          <w:sz w:val="36"/>
          <w:szCs w:val="36"/>
          <w:lang w:eastAsia="sv-SE"/>
        </w:rPr>
        <mc:AlternateContent>
          <mc:Choice Requires="wps">
            <w:drawing>
              <wp:anchor distT="0" distB="0" distL="114300" distR="114300" simplePos="0" relativeHeight="251657728" behindDoc="0" locked="0" layoutInCell="1" allowOverlap="1" wp14:anchorId="24731EA7" wp14:editId="27104EDD">
                <wp:simplePos x="0" y="0"/>
                <wp:positionH relativeFrom="margin">
                  <wp:align>left</wp:align>
                </wp:positionH>
                <wp:positionV relativeFrom="page">
                  <wp:posOffset>1295400</wp:posOffset>
                </wp:positionV>
                <wp:extent cx="6400800" cy="2971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71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10015" w:type="dxa"/>
                              <w:tblInd w:w="108" w:type="dxa"/>
                              <w:tblLook w:val="00A0" w:firstRow="1" w:lastRow="0" w:firstColumn="1" w:lastColumn="0" w:noHBand="0" w:noVBand="0"/>
                            </w:tblPr>
                            <w:tblGrid>
                              <w:gridCol w:w="5841"/>
                              <w:gridCol w:w="4174"/>
                            </w:tblGrid>
                            <w:tr w:rsidR="00B9531E" w14:paraId="7A50C661" w14:textId="77777777" w:rsidTr="00316607">
                              <w:trPr>
                                <w:trHeight w:val="2304"/>
                              </w:trPr>
                              <w:tc>
                                <w:tcPr>
                                  <w:tcW w:w="5841" w:type="dxa"/>
                                </w:tcPr>
                                <w:p w14:paraId="53FD1A13" w14:textId="77777777" w:rsidR="00B9531E" w:rsidRDefault="00B9531E" w:rsidP="00316607">
                                  <w:pPr>
                                    <w:pStyle w:val="Sidhuvud"/>
                                    <w:spacing w:after="0"/>
                                    <w:outlineLvl w:val="0"/>
                                  </w:pPr>
                                </w:p>
                              </w:tc>
                              <w:tc>
                                <w:tcPr>
                                  <w:tcW w:w="4174" w:type="dxa"/>
                                  <w:tcMar>
                                    <w:left w:w="0" w:type="dxa"/>
                                  </w:tcMar>
                                </w:tcPr>
                                <w:p w14:paraId="2FDE32D4" w14:textId="77777777" w:rsidR="00B9531E" w:rsidRDefault="00B9531E" w:rsidP="00316607">
                                  <w:pPr>
                                    <w:pStyle w:val="Sidhuvud"/>
                                    <w:spacing w:after="0" w:line="200" w:lineRule="exact"/>
                                  </w:pPr>
                                </w:p>
                              </w:tc>
                            </w:tr>
                          </w:tbl>
                          <w:p w14:paraId="07D76F80" w14:textId="77777777" w:rsidR="00B9531E" w:rsidRDefault="00B9531E"/>
                        </w:txbxContent>
                      </wps:txbx>
                      <wps:bodyPr rot="0" vert="horz" wrap="square" lIns="5400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31EA7" id="_x0000_t202" coordsize="21600,21600" o:spt="202" path="m,l,21600r21600,l21600,xe">
                <v:stroke joinstyle="miter"/>
                <v:path gradientshapeok="t" o:connecttype="rect"/>
              </v:shapetype>
              <v:shape id="Text Box 2" o:spid="_x0000_s1026" type="#_x0000_t202" style="position:absolute;margin-left:0;margin-top:102pt;width:7in;height:23.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" stroked="f">
                <v:textbox inset="1.5mm,1mm">
                  <w:txbxContent>
                    <w:tbl>
                      <w:tblPr>
                        <w:tblW w:w="10015" w:type="dxa"/>
                        <w:tblInd w:w="108" w:type="dxa"/>
                        <w:tblLook w:val="00A0" w:firstRow="1" w:lastRow="0" w:firstColumn="1" w:lastColumn="0" w:noHBand="0" w:noVBand="0"/>
                      </w:tblPr>
                      <w:tblGrid>
                        <w:gridCol w:w="5841"/>
                        <w:gridCol w:w="4174"/>
                      </w:tblGrid>
                      <w:tr w:rsidR="00B9531E" w14:paraId="7A50C661" w14:textId="77777777" w:rsidTr="00316607">
                        <w:trPr>
                          <w:trHeight w:val="2304"/>
                        </w:trPr>
                        <w:tc>
                          <w:tcPr>
                            <w:tcW w:w="5841" w:type="dxa"/>
                          </w:tcPr>
                          <w:p w14:paraId="53FD1A13" w14:textId="77777777" w:rsidR="00B9531E" w:rsidRDefault="00B9531E" w:rsidP="00316607">
                            <w:pPr>
                              <w:pStyle w:val="Sidhuvud"/>
                              <w:spacing w:after="0"/>
                              <w:outlineLvl w:val="0"/>
                            </w:pPr>
                          </w:p>
                        </w:tc>
                        <w:tc>
                          <w:tcPr>
                            <w:tcW w:w="4174" w:type="dxa"/>
                            <w:tcMar>
                              <w:left w:w="0" w:type="dxa"/>
                            </w:tcMar>
                          </w:tcPr>
                          <w:p w14:paraId="2FDE32D4" w14:textId="77777777" w:rsidR="00B9531E" w:rsidRDefault="00B9531E" w:rsidP="00316607">
                            <w:pPr>
                              <w:pStyle w:val="Sidhuvud"/>
                              <w:spacing w:after="0" w:line="200" w:lineRule="exact"/>
                            </w:pPr>
                          </w:p>
                        </w:tc>
                      </w:tr>
                    </w:tbl>
                    <w:p w14:paraId="07D76F80" w14:textId="77777777" w:rsidR="00B9531E" w:rsidRDefault="00B9531E"/>
                  </w:txbxContent>
                </v:textbox>
                <w10:wrap type="square" anchorx="margin" anchory="page"/>
              </v:shape>
            </w:pict>
          </mc:Fallback>
        </mc:AlternateContent>
      </w:r>
      <w:r w:rsidR="00157402" w:rsidRPr="0046401F">
        <w:rPr>
          <w:b/>
          <w:sz w:val="36"/>
          <w:szCs w:val="36"/>
        </w:rPr>
        <w:t>Sammanfattning av regeringens budgetpropo</w:t>
      </w:r>
      <w:r w:rsidR="00CF0F46">
        <w:rPr>
          <w:b/>
          <w:sz w:val="36"/>
          <w:szCs w:val="36"/>
        </w:rPr>
        <w:t>-</w:t>
      </w:r>
      <w:r w:rsidR="00157402" w:rsidRPr="0046401F">
        <w:rPr>
          <w:b/>
          <w:sz w:val="36"/>
          <w:szCs w:val="36"/>
        </w:rPr>
        <w:t xml:space="preserve">sition </w:t>
      </w:r>
      <w:r w:rsidR="00CF0F46">
        <w:rPr>
          <w:b/>
          <w:sz w:val="36"/>
          <w:szCs w:val="36"/>
        </w:rPr>
        <w:t xml:space="preserve">inför </w:t>
      </w:r>
      <w:r w:rsidR="00157402" w:rsidRPr="0046401F">
        <w:rPr>
          <w:b/>
          <w:sz w:val="36"/>
          <w:szCs w:val="36"/>
        </w:rPr>
        <w:t>20</w:t>
      </w:r>
      <w:r w:rsidR="002A344A">
        <w:rPr>
          <w:b/>
          <w:sz w:val="36"/>
          <w:szCs w:val="36"/>
        </w:rPr>
        <w:t>1</w:t>
      </w:r>
      <w:r w:rsidR="00A77164">
        <w:rPr>
          <w:b/>
          <w:sz w:val="36"/>
          <w:szCs w:val="36"/>
        </w:rPr>
        <w:t>6</w:t>
      </w:r>
      <w:r w:rsidR="0046401F">
        <w:rPr>
          <w:b/>
          <w:sz w:val="36"/>
          <w:szCs w:val="36"/>
        </w:rPr>
        <w:t xml:space="preserve"> avseende utgiftsområde 16: </w:t>
      </w:r>
      <w:r w:rsidR="0046401F" w:rsidRPr="0046401F">
        <w:rPr>
          <w:b/>
          <w:i/>
          <w:szCs w:val="32"/>
        </w:rPr>
        <w:t>Utbildning och universitetsforskning</w:t>
      </w:r>
    </w:p>
    <w:p w14:paraId="1DCB51E0" w14:textId="77777777" w:rsidR="00157402" w:rsidRPr="00157402" w:rsidRDefault="00157402" w:rsidP="00157402">
      <w:pPr>
        <w:pStyle w:val="UmUNormal"/>
        <w:spacing w:after="0"/>
      </w:pPr>
    </w:p>
    <w:p w14:paraId="1C10CB54" w14:textId="58893E9D" w:rsidR="00157402" w:rsidRPr="00224E41" w:rsidRDefault="00157402" w:rsidP="00F82FF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42"/>
        <w:jc w:val="both"/>
        <w:rPr>
          <w:sz w:val="22"/>
          <w:szCs w:val="22"/>
        </w:rPr>
      </w:pPr>
      <w:r w:rsidRPr="00157402">
        <w:rPr>
          <w:sz w:val="22"/>
          <w:szCs w:val="22"/>
        </w:rPr>
        <w:t>I denna promemoria sammanfattas regeringens budgetproposi</w:t>
      </w:r>
      <w:r>
        <w:rPr>
          <w:sz w:val="22"/>
          <w:szCs w:val="22"/>
        </w:rPr>
        <w:t xml:space="preserve">tion </w:t>
      </w:r>
      <w:r w:rsidR="00FD5046">
        <w:rPr>
          <w:sz w:val="22"/>
          <w:szCs w:val="22"/>
        </w:rPr>
        <w:t xml:space="preserve">inför </w:t>
      </w:r>
      <w:r w:rsidR="00587ABD">
        <w:rPr>
          <w:sz w:val="22"/>
          <w:szCs w:val="22"/>
        </w:rPr>
        <w:t>201</w:t>
      </w:r>
      <w:r w:rsidR="00FD5046">
        <w:rPr>
          <w:sz w:val="22"/>
          <w:szCs w:val="22"/>
        </w:rPr>
        <w:t>6</w:t>
      </w:r>
      <w:r w:rsidR="00587ABD">
        <w:rPr>
          <w:sz w:val="22"/>
          <w:szCs w:val="22"/>
        </w:rPr>
        <w:t xml:space="preserve"> </w:t>
      </w:r>
      <w:r>
        <w:rPr>
          <w:sz w:val="22"/>
          <w:szCs w:val="22"/>
        </w:rPr>
        <w:t>avseende utgifts</w:t>
      </w:r>
      <w:r w:rsidR="0099130A">
        <w:rPr>
          <w:sz w:val="22"/>
          <w:szCs w:val="22"/>
        </w:rPr>
        <w:softHyphen/>
      </w:r>
      <w:r>
        <w:rPr>
          <w:sz w:val="22"/>
          <w:szCs w:val="22"/>
        </w:rPr>
        <w:t xml:space="preserve">område 16 </w:t>
      </w:r>
      <w:r w:rsidRPr="00157402">
        <w:rPr>
          <w:i/>
          <w:sz w:val="22"/>
          <w:szCs w:val="22"/>
        </w:rPr>
        <w:t>Utbildning och universitetsforskning</w:t>
      </w:r>
      <w:r w:rsidRPr="00157402">
        <w:rPr>
          <w:sz w:val="22"/>
          <w:szCs w:val="22"/>
        </w:rPr>
        <w:t xml:space="preserve">. </w:t>
      </w:r>
      <w:r w:rsidR="00E60CBB">
        <w:rPr>
          <w:sz w:val="22"/>
          <w:szCs w:val="22"/>
        </w:rPr>
        <w:t>I dokumentet refe</w:t>
      </w:r>
      <w:r w:rsidR="00852EC8">
        <w:rPr>
          <w:sz w:val="22"/>
          <w:szCs w:val="22"/>
        </w:rPr>
        <w:t>rer</w:t>
      </w:r>
      <w:r w:rsidR="00E60CBB">
        <w:rPr>
          <w:sz w:val="22"/>
          <w:szCs w:val="22"/>
        </w:rPr>
        <w:t xml:space="preserve">as från regeringens texter i budgetpropositionen. </w:t>
      </w:r>
      <w:r w:rsidRPr="00157402">
        <w:rPr>
          <w:sz w:val="22"/>
          <w:szCs w:val="22"/>
        </w:rPr>
        <w:t xml:space="preserve">Avslutningsvis återfinns ett antal tabeller som jämförelsevis redovisar anslagsstorlek och anslagsutveckling för Umeå universitet, </w:t>
      </w:r>
      <w:r w:rsidR="00224E41">
        <w:rPr>
          <w:sz w:val="22"/>
          <w:szCs w:val="22"/>
        </w:rPr>
        <w:t xml:space="preserve">Linköpings universitet, </w:t>
      </w:r>
      <w:r w:rsidRPr="00157402">
        <w:rPr>
          <w:sz w:val="22"/>
          <w:szCs w:val="22"/>
        </w:rPr>
        <w:t>Luleå tekniska universitet</w:t>
      </w:r>
      <w:r w:rsidR="00224E41">
        <w:rPr>
          <w:sz w:val="22"/>
          <w:szCs w:val="22"/>
        </w:rPr>
        <w:t xml:space="preserve"> och</w:t>
      </w:r>
      <w:r w:rsidRPr="00157402">
        <w:rPr>
          <w:sz w:val="22"/>
          <w:szCs w:val="22"/>
        </w:rPr>
        <w:t xml:space="preserve"> Mittuniv</w:t>
      </w:r>
      <w:r w:rsidR="00224E41">
        <w:rPr>
          <w:sz w:val="22"/>
          <w:szCs w:val="22"/>
        </w:rPr>
        <w:t>ersitetet</w:t>
      </w:r>
      <w:r w:rsidRPr="00157402">
        <w:rPr>
          <w:sz w:val="22"/>
          <w:szCs w:val="22"/>
        </w:rPr>
        <w:t xml:space="preserve">. </w:t>
      </w:r>
    </w:p>
    <w:p w14:paraId="4B551DE5" w14:textId="77777777" w:rsidR="00C02480" w:rsidRDefault="00C02480" w:rsidP="003A0548">
      <w:pPr>
        <w:spacing w:after="0"/>
        <w:ind w:left="567"/>
        <w:rPr>
          <w:rFonts w:cs="Arial"/>
          <w:b/>
        </w:rPr>
      </w:pPr>
    </w:p>
    <w:p w14:paraId="1B68C5DE" w14:textId="77777777" w:rsidR="003A0548" w:rsidRPr="00800237" w:rsidRDefault="003A0548" w:rsidP="00852EC8">
      <w:pPr>
        <w:spacing w:after="0"/>
        <w:rPr>
          <w:rFonts w:cs="Arial"/>
          <w:b/>
        </w:rPr>
      </w:pPr>
      <w:r w:rsidRPr="00800237">
        <w:rPr>
          <w:rFonts w:cs="Arial"/>
          <w:b/>
        </w:rPr>
        <w:t>Allmänt om budgetpropositionen</w:t>
      </w:r>
    </w:p>
    <w:p w14:paraId="3F66D894" w14:textId="00659D75" w:rsidR="00EF7734" w:rsidRPr="00A57DDA" w:rsidRDefault="00EF7734" w:rsidP="00852EC8">
      <w:pPr>
        <w:numPr>
          <w:ilvl w:val="0"/>
          <w:numId w:val="10"/>
        </w:numPr>
        <w:spacing w:after="0"/>
        <w:ind w:left="426" w:hanging="426"/>
        <w:jc w:val="both"/>
        <w:rPr>
          <w:rFonts w:cs="Arial"/>
          <w:sz w:val="22"/>
          <w:szCs w:val="22"/>
        </w:rPr>
      </w:pPr>
      <w:r w:rsidRPr="00A00E06">
        <w:rPr>
          <w:rFonts w:cs="Arial"/>
          <w:sz w:val="22"/>
          <w:szCs w:val="22"/>
        </w:rPr>
        <w:t>Statsbudgeten består av 27 så kallade utgiftsområden som samman</w:t>
      </w:r>
      <w:r w:rsidR="00800237" w:rsidRPr="00A00E06">
        <w:rPr>
          <w:rFonts w:cs="Arial"/>
          <w:sz w:val="22"/>
          <w:szCs w:val="22"/>
        </w:rPr>
        <w:t xml:space="preserve">lagt uppgår till </w:t>
      </w:r>
      <w:r w:rsidR="00A77164">
        <w:rPr>
          <w:rFonts w:cs="Arial"/>
          <w:sz w:val="22"/>
          <w:szCs w:val="22"/>
        </w:rPr>
        <w:t>926,2</w:t>
      </w:r>
      <w:r w:rsidR="00800237" w:rsidRPr="00A00E06">
        <w:rPr>
          <w:rFonts w:cs="Arial"/>
          <w:sz w:val="22"/>
          <w:szCs w:val="22"/>
        </w:rPr>
        <w:t xml:space="preserve"> mdr (201</w:t>
      </w:r>
      <w:r w:rsidR="00FD5046">
        <w:rPr>
          <w:rFonts w:cs="Arial"/>
          <w:sz w:val="22"/>
          <w:szCs w:val="22"/>
        </w:rPr>
        <w:t>5</w:t>
      </w:r>
      <w:r w:rsidRPr="00A00E06">
        <w:rPr>
          <w:rFonts w:cs="Arial"/>
          <w:sz w:val="22"/>
          <w:szCs w:val="22"/>
        </w:rPr>
        <w:t xml:space="preserve"> omfattade statsbudgeten till </w:t>
      </w:r>
      <w:r w:rsidR="00A77164">
        <w:rPr>
          <w:rFonts w:cs="Arial"/>
          <w:sz w:val="22"/>
          <w:szCs w:val="22"/>
        </w:rPr>
        <w:t>890,9</w:t>
      </w:r>
      <w:r w:rsidRPr="00A00E06">
        <w:rPr>
          <w:rFonts w:cs="Arial"/>
          <w:sz w:val="22"/>
          <w:szCs w:val="22"/>
        </w:rPr>
        <w:t xml:space="preserve"> mdr)</w:t>
      </w:r>
      <w:r w:rsidR="00800237" w:rsidRPr="00A00E06">
        <w:rPr>
          <w:rFonts w:cs="Arial"/>
          <w:sz w:val="22"/>
          <w:szCs w:val="22"/>
        </w:rPr>
        <w:t>, d</w:t>
      </w:r>
      <w:r w:rsidR="00852EC8">
        <w:rPr>
          <w:rFonts w:cs="Arial"/>
          <w:sz w:val="22"/>
          <w:szCs w:val="22"/>
        </w:rPr>
        <w:t>.</w:t>
      </w:r>
      <w:r w:rsidR="00800237" w:rsidRPr="00A00E06">
        <w:rPr>
          <w:rFonts w:cs="Arial"/>
          <w:sz w:val="22"/>
          <w:szCs w:val="22"/>
        </w:rPr>
        <w:t>v</w:t>
      </w:r>
      <w:r w:rsidR="00852EC8">
        <w:rPr>
          <w:rFonts w:cs="Arial"/>
          <w:sz w:val="22"/>
          <w:szCs w:val="22"/>
        </w:rPr>
        <w:t>.</w:t>
      </w:r>
      <w:r w:rsidR="00800237" w:rsidRPr="00A00E06">
        <w:rPr>
          <w:rFonts w:cs="Arial"/>
          <w:sz w:val="22"/>
          <w:szCs w:val="22"/>
        </w:rPr>
        <w:t>s</w:t>
      </w:r>
      <w:r w:rsidR="00852EC8">
        <w:rPr>
          <w:rFonts w:cs="Arial"/>
          <w:sz w:val="22"/>
          <w:szCs w:val="22"/>
        </w:rPr>
        <w:t>.</w:t>
      </w:r>
      <w:r w:rsidR="00800237" w:rsidRPr="00A00E06">
        <w:rPr>
          <w:rFonts w:cs="Arial"/>
          <w:sz w:val="22"/>
          <w:szCs w:val="22"/>
        </w:rPr>
        <w:t xml:space="preserve"> ökningen jämfört med år 201</w:t>
      </w:r>
      <w:r w:rsidR="00FD5046">
        <w:rPr>
          <w:rFonts w:cs="Arial"/>
          <w:sz w:val="22"/>
          <w:szCs w:val="22"/>
        </w:rPr>
        <w:t>5</w:t>
      </w:r>
      <w:r w:rsidR="00800237" w:rsidRPr="00A00E06">
        <w:rPr>
          <w:rFonts w:cs="Arial"/>
          <w:sz w:val="22"/>
          <w:szCs w:val="22"/>
        </w:rPr>
        <w:t xml:space="preserve"> är +</w:t>
      </w:r>
      <w:r w:rsidR="00A77164">
        <w:rPr>
          <w:rFonts w:cs="Arial"/>
          <w:sz w:val="22"/>
          <w:szCs w:val="22"/>
        </w:rPr>
        <w:t>35,3</w:t>
      </w:r>
      <w:r w:rsidR="00800237" w:rsidRPr="00A00E06">
        <w:rPr>
          <w:rFonts w:cs="Arial"/>
          <w:sz w:val="22"/>
          <w:szCs w:val="22"/>
        </w:rPr>
        <w:t xml:space="preserve"> mdr eller +4,0 procent</w:t>
      </w:r>
      <w:r w:rsidRPr="00A00E06">
        <w:rPr>
          <w:rFonts w:cs="Arial"/>
          <w:sz w:val="22"/>
          <w:szCs w:val="22"/>
        </w:rPr>
        <w:t xml:space="preserve">. Utgiftsområde 16, </w:t>
      </w:r>
      <w:r w:rsidRPr="00A00E06">
        <w:rPr>
          <w:rFonts w:cs="Arial"/>
          <w:i/>
          <w:sz w:val="22"/>
          <w:szCs w:val="22"/>
        </w:rPr>
        <w:t>Utbildning och universitetsforskning</w:t>
      </w:r>
      <w:r w:rsidRPr="00A00E06">
        <w:rPr>
          <w:rFonts w:cs="Arial"/>
          <w:sz w:val="22"/>
          <w:szCs w:val="22"/>
        </w:rPr>
        <w:t xml:space="preserve">, erhåller enligt propositionens förslag </w:t>
      </w:r>
      <w:r w:rsidR="00A77164">
        <w:rPr>
          <w:rFonts w:cs="Arial"/>
          <w:sz w:val="22"/>
          <w:szCs w:val="22"/>
        </w:rPr>
        <w:t>69,5</w:t>
      </w:r>
      <w:r w:rsidRPr="00A00E06">
        <w:rPr>
          <w:rFonts w:cs="Arial"/>
          <w:sz w:val="22"/>
          <w:szCs w:val="22"/>
        </w:rPr>
        <w:t xml:space="preserve"> mdr vilket utgör 7,</w:t>
      </w:r>
      <w:r w:rsidR="00FD5046">
        <w:rPr>
          <w:rFonts w:cs="Arial"/>
          <w:sz w:val="22"/>
          <w:szCs w:val="22"/>
        </w:rPr>
        <w:t>5</w:t>
      </w:r>
      <w:r w:rsidRPr="00A00E06">
        <w:rPr>
          <w:rFonts w:cs="Arial"/>
          <w:sz w:val="22"/>
          <w:szCs w:val="22"/>
        </w:rPr>
        <w:t xml:space="preserve"> procent av hela statsbudgeten (201</w:t>
      </w:r>
      <w:r w:rsidR="00FD5046">
        <w:rPr>
          <w:rFonts w:cs="Arial"/>
          <w:sz w:val="22"/>
          <w:szCs w:val="22"/>
        </w:rPr>
        <w:t>5</w:t>
      </w:r>
      <w:r w:rsidRPr="00A00E06">
        <w:rPr>
          <w:rFonts w:cs="Arial"/>
          <w:sz w:val="22"/>
          <w:szCs w:val="22"/>
        </w:rPr>
        <w:t xml:space="preserve"> erhöll utgiftsområdet </w:t>
      </w:r>
      <w:r w:rsidR="00A77164">
        <w:rPr>
          <w:rFonts w:cs="Arial"/>
          <w:sz w:val="22"/>
          <w:szCs w:val="22"/>
        </w:rPr>
        <w:t>64,2</w:t>
      </w:r>
      <w:r w:rsidRPr="00A00E06">
        <w:rPr>
          <w:rFonts w:cs="Arial"/>
          <w:sz w:val="22"/>
          <w:szCs w:val="22"/>
        </w:rPr>
        <w:t xml:space="preserve"> mdr </w:t>
      </w:r>
      <w:r w:rsidRPr="00A57DDA">
        <w:rPr>
          <w:rFonts w:cs="Arial"/>
          <w:sz w:val="22"/>
          <w:szCs w:val="22"/>
        </w:rPr>
        <w:t xml:space="preserve">eller </w:t>
      </w:r>
      <w:r w:rsidR="00800237" w:rsidRPr="00A57DDA">
        <w:rPr>
          <w:rFonts w:cs="Arial"/>
          <w:sz w:val="22"/>
          <w:szCs w:val="22"/>
        </w:rPr>
        <w:t>7,</w:t>
      </w:r>
      <w:r w:rsidR="00FD5046">
        <w:rPr>
          <w:rFonts w:cs="Arial"/>
          <w:sz w:val="22"/>
          <w:szCs w:val="22"/>
        </w:rPr>
        <w:t>2</w:t>
      </w:r>
      <w:r w:rsidRPr="00A57DDA">
        <w:rPr>
          <w:rFonts w:cs="Arial"/>
          <w:sz w:val="22"/>
          <w:szCs w:val="22"/>
        </w:rPr>
        <w:t xml:space="preserve"> procent, så andelsmässigt ökar utgiftsområdet relativt sett med 0,</w:t>
      </w:r>
      <w:r w:rsidR="00A77164" w:rsidRPr="00A57DDA">
        <w:rPr>
          <w:rFonts w:cs="Arial"/>
          <w:sz w:val="22"/>
          <w:szCs w:val="22"/>
        </w:rPr>
        <w:t>3</w:t>
      </w:r>
      <w:r w:rsidRPr="00A57DDA">
        <w:rPr>
          <w:rFonts w:cs="Arial"/>
          <w:sz w:val="22"/>
          <w:szCs w:val="22"/>
        </w:rPr>
        <w:t xml:space="preserve"> procentenheter).</w:t>
      </w:r>
      <w:r w:rsidR="00800237" w:rsidRPr="00A57DDA">
        <w:rPr>
          <w:rFonts w:cs="Arial"/>
          <w:sz w:val="22"/>
          <w:szCs w:val="22"/>
        </w:rPr>
        <w:t xml:space="preserve"> Jämfört med år 2013 ökar anslaget till </w:t>
      </w:r>
      <w:r w:rsidR="00800237" w:rsidRPr="00A57DDA">
        <w:rPr>
          <w:rFonts w:cs="Arial"/>
          <w:i/>
          <w:sz w:val="22"/>
          <w:szCs w:val="22"/>
        </w:rPr>
        <w:t xml:space="preserve">Utbildning och universitetsforskning </w:t>
      </w:r>
      <w:r w:rsidR="00800237" w:rsidRPr="00A57DDA">
        <w:rPr>
          <w:rFonts w:cs="Arial"/>
          <w:sz w:val="22"/>
          <w:szCs w:val="22"/>
        </w:rPr>
        <w:t xml:space="preserve">med </w:t>
      </w:r>
      <w:r w:rsidR="00D75974" w:rsidRPr="00A57DDA">
        <w:rPr>
          <w:rFonts w:cs="Arial"/>
          <w:sz w:val="22"/>
          <w:szCs w:val="22"/>
        </w:rPr>
        <w:t>9,4</w:t>
      </w:r>
      <w:r w:rsidR="00800237" w:rsidRPr="00A57DDA">
        <w:rPr>
          <w:rFonts w:cs="Arial"/>
          <w:sz w:val="22"/>
          <w:szCs w:val="22"/>
        </w:rPr>
        <w:t xml:space="preserve"> mdr eller +</w:t>
      </w:r>
      <w:r w:rsidR="00D75974" w:rsidRPr="00A57DDA">
        <w:rPr>
          <w:rFonts w:cs="Arial"/>
          <w:sz w:val="22"/>
          <w:szCs w:val="22"/>
        </w:rPr>
        <w:t>15,6</w:t>
      </w:r>
      <w:r w:rsidR="00800237" w:rsidRPr="00A57DDA">
        <w:rPr>
          <w:rFonts w:cs="Arial"/>
          <w:sz w:val="22"/>
          <w:szCs w:val="22"/>
        </w:rPr>
        <w:t xml:space="preserve"> procent. </w:t>
      </w:r>
    </w:p>
    <w:p w14:paraId="678F7736" w14:textId="1BC13611" w:rsidR="00EF7734" w:rsidRPr="00A57DDA" w:rsidRDefault="00EF7734" w:rsidP="00800237">
      <w:pPr>
        <w:spacing w:after="0"/>
        <w:ind w:left="927"/>
        <w:jc w:val="both"/>
        <w:rPr>
          <w:rFonts w:cs="Arial"/>
          <w:sz w:val="22"/>
          <w:szCs w:val="22"/>
        </w:rPr>
      </w:pPr>
    </w:p>
    <w:p w14:paraId="7DD9A16F" w14:textId="77777777" w:rsidR="00377350" w:rsidRPr="00A57DDA" w:rsidRDefault="00377350" w:rsidP="00421144">
      <w:pPr>
        <w:spacing w:after="0"/>
        <w:ind w:left="426" w:hanging="426"/>
        <w:jc w:val="both"/>
        <w:rPr>
          <w:rFonts w:cs="Arial"/>
          <w:b/>
          <w:sz w:val="32"/>
          <w:szCs w:val="32"/>
        </w:rPr>
      </w:pPr>
      <w:r w:rsidRPr="00A57DDA">
        <w:rPr>
          <w:rFonts w:cs="Arial"/>
          <w:b/>
          <w:sz w:val="32"/>
          <w:szCs w:val="32"/>
        </w:rPr>
        <w:t>Universitet och högskolor – allmänt</w:t>
      </w:r>
    </w:p>
    <w:p w14:paraId="655C324C" w14:textId="77777777" w:rsidR="00A57DDA" w:rsidRPr="00F82FF8" w:rsidRDefault="00A57DDA" w:rsidP="00421144">
      <w:pPr>
        <w:spacing w:after="0"/>
        <w:ind w:left="426" w:hanging="426"/>
        <w:jc w:val="both"/>
        <w:rPr>
          <w:rFonts w:cs="Arial"/>
          <w:b/>
          <w:sz w:val="20"/>
          <w:szCs w:val="20"/>
        </w:rPr>
      </w:pPr>
    </w:p>
    <w:p w14:paraId="4B935AD3" w14:textId="40B41BF5" w:rsidR="00FA4181" w:rsidRPr="00917B1E" w:rsidRDefault="00917B1E" w:rsidP="00917B1E">
      <w:pPr>
        <w:spacing w:after="120"/>
        <w:jc w:val="both"/>
        <w:rPr>
          <w:rFonts w:cs="Arial"/>
          <w:sz w:val="22"/>
          <w:szCs w:val="22"/>
        </w:rPr>
      </w:pPr>
      <w:r w:rsidRPr="00917B1E">
        <w:rPr>
          <w:rFonts w:cs="Arial"/>
          <w:sz w:val="22"/>
          <w:szCs w:val="22"/>
        </w:rPr>
        <w:t>Mål för verksamhetsområdet (sid 125) framgår att målet är att ”utbildning och forskning vid universitet och högskolor ska hålla en internationellt sett hög kvalitet och bedrivas effektivt.</w:t>
      </w:r>
    </w:p>
    <w:p w14:paraId="38CBA583" w14:textId="77777777" w:rsidR="00FA4181" w:rsidRDefault="00FA4181" w:rsidP="00F82FF8">
      <w:pPr>
        <w:spacing w:after="120"/>
        <w:jc w:val="both"/>
        <w:rPr>
          <w:rFonts w:cs="Arial"/>
          <w:b/>
          <w:i/>
          <w:sz w:val="28"/>
          <w:szCs w:val="28"/>
        </w:rPr>
      </w:pPr>
      <w:r w:rsidRPr="002278D5">
        <w:rPr>
          <w:rFonts w:cs="Arial"/>
          <w:b/>
          <w:i/>
          <w:sz w:val="28"/>
          <w:szCs w:val="28"/>
        </w:rPr>
        <w:t>Utbildning</w:t>
      </w:r>
    </w:p>
    <w:p w14:paraId="758DDD66" w14:textId="39FA3CE8" w:rsidR="00F82FF8" w:rsidRPr="00045CD6" w:rsidRDefault="00F82FF8" w:rsidP="00F82FF8">
      <w:pPr>
        <w:spacing w:after="120"/>
        <w:ind w:left="426" w:hanging="426"/>
        <w:jc w:val="both"/>
        <w:rPr>
          <w:rFonts w:cs="Arial"/>
          <w:b/>
        </w:rPr>
      </w:pPr>
      <w:r>
        <w:rPr>
          <w:rFonts w:cs="Arial"/>
          <w:b/>
        </w:rPr>
        <w:t>Allmänt</w:t>
      </w:r>
    </w:p>
    <w:p w14:paraId="504429AD" w14:textId="4E7AC804" w:rsidR="00C152DA" w:rsidRDefault="00C152DA" w:rsidP="002278D5">
      <w:pPr>
        <w:numPr>
          <w:ilvl w:val="0"/>
          <w:numId w:val="10"/>
        </w:numPr>
        <w:spacing w:after="120"/>
        <w:ind w:left="425" w:hanging="425"/>
        <w:jc w:val="both"/>
        <w:rPr>
          <w:rFonts w:cs="Arial"/>
          <w:sz w:val="22"/>
          <w:szCs w:val="22"/>
        </w:rPr>
      </w:pPr>
      <w:r>
        <w:rPr>
          <w:rFonts w:cs="Arial"/>
          <w:sz w:val="22"/>
          <w:szCs w:val="22"/>
        </w:rPr>
        <w:t>Med bakgrund av Universitetskanslersämbetets (UKÄ) genomförda utvärderingar och regeringen</w:t>
      </w:r>
      <w:r w:rsidR="002278D5">
        <w:rPr>
          <w:rFonts w:cs="Arial"/>
          <w:sz w:val="22"/>
          <w:szCs w:val="22"/>
        </w:rPr>
        <w:t>s</w:t>
      </w:r>
      <w:r>
        <w:rPr>
          <w:rFonts w:cs="Arial"/>
          <w:sz w:val="22"/>
          <w:szCs w:val="22"/>
        </w:rPr>
        <w:t xml:space="preserve"> övergripande mål avseende kvalitet och effektivitet, betonar regeringen lärosätenas </w:t>
      </w:r>
      <w:r w:rsidRPr="00E4753B">
        <w:rPr>
          <w:rFonts w:cs="Arial"/>
          <w:sz w:val="22"/>
          <w:szCs w:val="22"/>
        </w:rPr>
        <w:t>långtgående ansvar för sitt interna kvalitetsarbete och vikt</w:t>
      </w:r>
      <w:r>
        <w:rPr>
          <w:rFonts w:cs="Arial"/>
          <w:sz w:val="22"/>
          <w:szCs w:val="22"/>
        </w:rPr>
        <w:t xml:space="preserve">en av </w:t>
      </w:r>
      <w:r w:rsidRPr="00E4753B">
        <w:rPr>
          <w:rFonts w:cs="Arial"/>
          <w:sz w:val="22"/>
          <w:szCs w:val="22"/>
        </w:rPr>
        <w:t xml:space="preserve">att varje </w:t>
      </w:r>
      <w:r>
        <w:rPr>
          <w:rFonts w:cs="Arial"/>
          <w:sz w:val="22"/>
          <w:szCs w:val="22"/>
        </w:rPr>
        <w:t>universitet och högskola</w:t>
      </w:r>
      <w:r w:rsidRPr="00E4753B">
        <w:rPr>
          <w:rFonts w:cs="Arial"/>
          <w:sz w:val="22"/>
          <w:szCs w:val="22"/>
        </w:rPr>
        <w:t xml:space="preserve"> har ett internt kvalitetssäkringssystem som ger lärosätet möjlighet</w:t>
      </w:r>
      <w:r>
        <w:rPr>
          <w:rFonts w:cs="Arial"/>
          <w:sz w:val="22"/>
          <w:szCs w:val="22"/>
        </w:rPr>
        <w:t>en</w:t>
      </w:r>
      <w:r w:rsidRPr="00E4753B">
        <w:rPr>
          <w:rFonts w:cs="Arial"/>
          <w:sz w:val="22"/>
          <w:szCs w:val="22"/>
        </w:rPr>
        <w:t xml:space="preserve"> att uppnå hög kvalitet i sina utbildningar.</w:t>
      </w:r>
    </w:p>
    <w:p w14:paraId="61FFC0BD" w14:textId="307DBCDF" w:rsidR="00C152DA" w:rsidRPr="0010327F" w:rsidRDefault="00C152DA" w:rsidP="002278D5">
      <w:pPr>
        <w:numPr>
          <w:ilvl w:val="0"/>
          <w:numId w:val="10"/>
        </w:numPr>
        <w:spacing w:after="120"/>
        <w:ind w:left="425" w:hanging="425"/>
        <w:jc w:val="both"/>
        <w:rPr>
          <w:rFonts w:cs="Arial"/>
          <w:sz w:val="22"/>
          <w:szCs w:val="22"/>
        </w:rPr>
      </w:pPr>
      <w:r>
        <w:rPr>
          <w:rFonts w:cs="Arial"/>
          <w:sz w:val="22"/>
          <w:szCs w:val="22"/>
        </w:rPr>
        <w:t xml:space="preserve">Enligt regeringen </w:t>
      </w:r>
      <w:r w:rsidRPr="0010327F">
        <w:rPr>
          <w:rFonts w:cs="Arial"/>
          <w:sz w:val="22"/>
          <w:szCs w:val="22"/>
        </w:rPr>
        <w:t>bör varje lärosäte fatta strategiska beslut om profilering av sitt utbildningsutbud och de senare årens utveckling</w:t>
      </w:r>
      <w:r>
        <w:rPr>
          <w:rFonts w:cs="Arial"/>
          <w:sz w:val="22"/>
          <w:szCs w:val="22"/>
        </w:rPr>
        <w:t xml:space="preserve">, där flertalet </w:t>
      </w:r>
      <w:r w:rsidRPr="00D67D0E">
        <w:rPr>
          <w:rFonts w:cs="Arial"/>
          <w:sz w:val="22"/>
          <w:szCs w:val="22"/>
        </w:rPr>
        <w:t>universitet och högskolor genomfört förändringar i sina utbildningsutbud</w:t>
      </w:r>
      <w:r>
        <w:rPr>
          <w:rFonts w:cs="Arial"/>
          <w:sz w:val="22"/>
          <w:szCs w:val="22"/>
        </w:rPr>
        <w:t xml:space="preserve"> för att bl.a. öka efterfrågan från studenter och arbetsmarknad,</w:t>
      </w:r>
      <w:r w:rsidRPr="0010327F">
        <w:rPr>
          <w:rFonts w:cs="Arial"/>
          <w:sz w:val="22"/>
          <w:szCs w:val="22"/>
        </w:rPr>
        <w:t xml:space="preserve"> tyder på att lärosätena blivit allt mer medvetna om vikten av att fatta strategiska beslut.</w:t>
      </w:r>
    </w:p>
    <w:p w14:paraId="2B920C45" w14:textId="62C373C7" w:rsidR="00C152DA" w:rsidRPr="0071517B" w:rsidRDefault="00C152DA" w:rsidP="002278D5">
      <w:pPr>
        <w:numPr>
          <w:ilvl w:val="0"/>
          <w:numId w:val="10"/>
        </w:numPr>
        <w:spacing w:after="120"/>
        <w:ind w:left="425" w:hanging="425"/>
        <w:jc w:val="both"/>
        <w:rPr>
          <w:rFonts w:cs="Arial"/>
          <w:sz w:val="22"/>
          <w:szCs w:val="22"/>
        </w:rPr>
      </w:pPr>
      <w:r w:rsidRPr="00767553">
        <w:rPr>
          <w:rFonts w:cs="Arial"/>
          <w:sz w:val="22"/>
          <w:szCs w:val="22"/>
        </w:rPr>
        <w:t xml:space="preserve">Regeringen påminner om vikten av </w:t>
      </w:r>
      <w:r w:rsidR="00BB5625">
        <w:rPr>
          <w:rFonts w:cs="Arial"/>
          <w:sz w:val="22"/>
          <w:szCs w:val="22"/>
        </w:rPr>
        <w:t xml:space="preserve">att </w:t>
      </w:r>
      <w:r w:rsidRPr="00767553">
        <w:rPr>
          <w:rFonts w:cs="Arial"/>
          <w:sz w:val="22"/>
          <w:szCs w:val="22"/>
        </w:rPr>
        <w:t xml:space="preserve">utbildning och forskning vid universitet och högskolor ska bedrivas effektivt och </w:t>
      </w:r>
      <w:r>
        <w:rPr>
          <w:rFonts w:cs="Arial"/>
          <w:sz w:val="22"/>
          <w:szCs w:val="22"/>
        </w:rPr>
        <w:t>a</w:t>
      </w:r>
      <w:r w:rsidRPr="00767553">
        <w:rPr>
          <w:rFonts w:cs="Arial"/>
          <w:sz w:val="22"/>
          <w:szCs w:val="22"/>
        </w:rPr>
        <w:t xml:space="preserve">tt lärosätena oavsett utbildningsform </w:t>
      </w:r>
      <w:r>
        <w:rPr>
          <w:rFonts w:cs="Arial"/>
          <w:sz w:val="22"/>
          <w:szCs w:val="22"/>
        </w:rPr>
        <w:t xml:space="preserve">ska </w:t>
      </w:r>
      <w:r w:rsidRPr="00767553">
        <w:rPr>
          <w:rFonts w:cs="Arial"/>
          <w:sz w:val="22"/>
          <w:szCs w:val="22"/>
        </w:rPr>
        <w:t>sträv</w:t>
      </w:r>
      <w:r>
        <w:rPr>
          <w:rFonts w:cs="Arial"/>
          <w:sz w:val="22"/>
          <w:szCs w:val="22"/>
        </w:rPr>
        <w:t xml:space="preserve">a </w:t>
      </w:r>
      <w:r w:rsidRPr="00767553">
        <w:rPr>
          <w:rFonts w:cs="Arial"/>
          <w:sz w:val="22"/>
          <w:szCs w:val="22"/>
        </w:rPr>
        <w:t xml:space="preserve">efter en hög prestationsgrad. </w:t>
      </w:r>
      <w:r>
        <w:rPr>
          <w:rFonts w:cs="Arial"/>
          <w:sz w:val="22"/>
          <w:szCs w:val="22"/>
        </w:rPr>
        <w:t>Regeringen kan här konstatera att</w:t>
      </w:r>
      <w:r w:rsidRPr="00767553">
        <w:rPr>
          <w:rFonts w:cs="Arial"/>
          <w:sz w:val="22"/>
          <w:szCs w:val="22"/>
        </w:rPr>
        <w:t xml:space="preserve"> den genomsnittliga prestationsgraden ökat något</w:t>
      </w:r>
      <w:r>
        <w:rPr>
          <w:rFonts w:cs="Arial"/>
          <w:sz w:val="22"/>
          <w:szCs w:val="22"/>
        </w:rPr>
        <w:t xml:space="preserve"> efter </w:t>
      </w:r>
      <w:r w:rsidRPr="0071517B">
        <w:rPr>
          <w:rFonts w:cs="Arial"/>
          <w:sz w:val="22"/>
          <w:szCs w:val="22"/>
        </w:rPr>
        <w:t>de senaste årens trend med fallande prestationsgrader inom utbildningarna på grundnivå och avancerad n</w:t>
      </w:r>
      <w:r>
        <w:rPr>
          <w:rFonts w:cs="Arial"/>
          <w:sz w:val="22"/>
          <w:szCs w:val="22"/>
        </w:rPr>
        <w:t>ivå.</w:t>
      </w:r>
    </w:p>
    <w:p w14:paraId="1CED8557" w14:textId="77777777" w:rsidR="00C152DA" w:rsidRPr="001941B9" w:rsidRDefault="00C152DA" w:rsidP="002278D5">
      <w:pPr>
        <w:numPr>
          <w:ilvl w:val="0"/>
          <w:numId w:val="10"/>
        </w:numPr>
        <w:spacing w:after="120"/>
        <w:ind w:left="425" w:hanging="425"/>
        <w:jc w:val="both"/>
        <w:rPr>
          <w:rFonts w:cs="Arial"/>
          <w:sz w:val="22"/>
          <w:szCs w:val="22"/>
        </w:rPr>
      </w:pPr>
      <w:r w:rsidRPr="001941B9">
        <w:rPr>
          <w:rFonts w:cs="Arial"/>
          <w:sz w:val="22"/>
          <w:szCs w:val="22"/>
        </w:rPr>
        <w:t>Skillnaden mellan kvinnor och mäns benägenhet att läsa en högskoleutbildning är stor och blir dessutom allt större</w:t>
      </w:r>
      <w:r>
        <w:rPr>
          <w:rFonts w:cs="Arial"/>
          <w:sz w:val="22"/>
          <w:szCs w:val="22"/>
        </w:rPr>
        <w:t xml:space="preserve"> noterar regeringen</w:t>
      </w:r>
      <w:r w:rsidRPr="001941B9">
        <w:rPr>
          <w:rFonts w:cs="Arial"/>
          <w:sz w:val="22"/>
          <w:szCs w:val="22"/>
        </w:rPr>
        <w:t xml:space="preserve">. Inom utbildning på grundnivå och </w:t>
      </w:r>
      <w:r w:rsidRPr="001941B9">
        <w:rPr>
          <w:rFonts w:cs="Arial"/>
          <w:sz w:val="22"/>
          <w:szCs w:val="22"/>
        </w:rPr>
        <w:lastRenderedPageBreak/>
        <w:t xml:space="preserve">avancerad nivå studerar fler kvinnor än män. Inom utbildningen är också förekomsten av könsbundna utbildningsval ett fortsatt problem. Regeringen kan konstatera att kvinnor och mäns olika utbildningsval gör det svårare att uppnå det jämställdhetspolitiska målet om ekonomisk jämställdhet. </w:t>
      </w:r>
    </w:p>
    <w:p w14:paraId="5F211F03" w14:textId="77777777" w:rsidR="00C152DA" w:rsidRPr="00C070BC" w:rsidRDefault="00C152DA" w:rsidP="002278D5">
      <w:pPr>
        <w:numPr>
          <w:ilvl w:val="0"/>
          <w:numId w:val="10"/>
        </w:numPr>
        <w:spacing w:after="0"/>
        <w:ind w:left="426" w:hanging="425"/>
        <w:jc w:val="both"/>
        <w:rPr>
          <w:rFonts w:cs="Arial"/>
          <w:sz w:val="22"/>
          <w:szCs w:val="22"/>
        </w:rPr>
      </w:pPr>
      <w:r w:rsidRPr="00C070BC">
        <w:rPr>
          <w:rFonts w:cs="Arial"/>
          <w:sz w:val="22"/>
          <w:szCs w:val="22"/>
        </w:rPr>
        <w:t xml:space="preserve">Andelen kvinnliga professorer ökar </w:t>
      </w:r>
      <w:r>
        <w:rPr>
          <w:rFonts w:cs="Arial"/>
          <w:sz w:val="22"/>
          <w:szCs w:val="22"/>
        </w:rPr>
        <w:t>men</w:t>
      </w:r>
      <w:r w:rsidRPr="00C070BC">
        <w:rPr>
          <w:rFonts w:cs="Arial"/>
          <w:sz w:val="22"/>
          <w:szCs w:val="22"/>
        </w:rPr>
        <w:t xml:space="preserve"> i långsammare takt de senaste åren än tidigare. Regeringens slutsats är att det behövs ytterligare arbete för att målsättningen om jämställda karriärvägar inom universitet och högskolor ska nås. </w:t>
      </w:r>
    </w:p>
    <w:p w14:paraId="1C76F722" w14:textId="77777777" w:rsidR="005E7931" w:rsidRPr="00045CD6" w:rsidRDefault="005E7931" w:rsidP="00421144">
      <w:pPr>
        <w:spacing w:after="0"/>
        <w:ind w:left="426" w:hanging="426"/>
        <w:jc w:val="both"/>
        <w:rPr>
          <w:rFonts w:cs="Arial"/>
          <w:sz w:val="22"/>
          <w:szCs w:val="22"/>
        </w:rPr>
      </w:pPr>
    </w:p>
    <w:p w14:paraId="1AF39DE8" w14:textId="5267942C" w:rsidR="005E7931" w:rsidRPr="00045CD6" w:rsidRDefault="00A57DDA" w:rsidP="002278D5">
      <w:pPr>
        <w:spacing w:after="120"/>
        <w:ind w:left="426" w:hanging="426"/>
        <w:jc w:val="both"/>
        <w:rPr>
          <w:rFonts w:cs="Arial"/>
          <w:b/>
        </w:rPr>
      </w:pPr>
      <w:r w:rsidRPr="00045CD6">
        <w:rPr>
          <w:rFonts w:cs="Arial"/>
          <w:b/>
        </w:rPr>
        <w:t>Högskolan utbildningsuppdrag</w:t>
      </w:r>
    </w:p>
    <w:p w14:paraId="0FA3F019" w14:textId="673754D7" w:rsidR="00A57DDA" w:rsidRPr="002278D5" w:rsidRDefault="00A57DDA" w:rsidP="002278D5">
      <w:pPr>
        <w:pStyle w:val="Liststycke"/>
        <w:numPr>
          <w:ilvl w:val="0"/>
          <w:numId w:val="30"/>
        </w:numPr>
        <w:autoSpaceDE w:val="0"/>
        <w:autoSpaceDN w:val="0"/>
        <w:adjustRightInd w:val="0"/>
        <w:spacing w:after="120"/>
        <w:ind w:left="425" w:hanging="425"/>
        <w:jc w:val="both"/>
        <w:rPr>
          <w:rFonts w:cs="Arial"/>
          <w:sz w:val="22"/>
          <w:szCs w:val="22"/>
        </w:rPr>
      </w:pPr>
      <w:r w:rsidRPr="00045CD6">
        <w:rPr>
          <w:rFonts w:cs="Arial"/>
          <w:sz w:val="22"/>
          <w:szCs w:val="22"/>
        </w:rPr>
        <w:t>Högskolans utbildningar bör möta både arbetsmarknadens och samhällets behov i dag och på längre sikt. Universitet och högskolor ansvarar själva för att inom ramen för de mål som regeringen har satt upp i examensbeskrivningar utforma utbildningarna. De har också stor frihet att själva dimensionera utbildningarna så länge dessa svarar mot studenternas efterfrågan och arbetsmarknadens behov. Denna ordning ger en stor flexibilitet i utbildningsutbudet, och erfarenheter visar att en alltför centralstyrd dimensionering av utbildning inte är ändamålsenlig. Regeringen ser dock att samverkan mellan lärosäten, liksom</w:t>
      </w:r>
      <w:r w:rsidRPr="00A57DDA">
        <w:rPr>
          <w:rFonts w:cs="Arial"/>
          <w:sz w:val="22"/>
          <w:szCs w:val="22"/>
        </w:rPr>
        <w:t xml:space="preserve"> t.ex. mellan lärosäten och berörda myndigheter, innebär möjligheter till en bättre dimensionering av utbildningarna. </w:t>
      </w:r>
      <w:r w:rsidR="00B33534">
        <w:rPr>
          <w:rFonts w:cs="Arial"/>
          <w:sz w:val="22"/>
          <w:szCs w:val="22"/>
        </w:rPr>
        <w:t xml:space="preserve">Betänkandet </w:t>
      </w:r>
      <w:r w:rsidR="00B33534">
        <w:rPr>
          <w:sz w:val="22"/>
          <w:szCs w:val="22"/>
        </w:rPr>
        <w:t>Högre utbildning under tjugo år (SOU 2015:70) har remitterats till bl.a. universitet och högskolor</w:t>
      </w:r>
      <w:r w:rsidR="002278D5">
        <w:rPr>
          <w:sz w:val="22"/>
          <w:szCs w:val="22"/>
        </w:rPr>
        <w:t>.</w:t>
      </w:r>
    </w:p>
    <w:p w14:paraId="22435633" w14:textId="77777777" w:rsidR="002278D5" w:rsidRPr="002278D5" w:rsidRDefault="002278D5" w:rsidP="002278D5">
      <w:pPr>
        <w:pStyle w:val="Liststycke"/>
        <w:autoSpaceDE w:val="0"/>
        <w:autoSpaceDN w:val="0"/>
        <w:adjustRightInd w:val="0"/>
        <w:spacing w:after="120"/>
        <w:ind w:left="425"/>
        <w:jc w:val="both"/>
        <w:rPr>
          <w:rFonts w:cs="Arial"/>
          <w:sz w:val="16"/>
          <w:szCs w:val="16"/>
        </w:rPr>
      </w:pPr>
    </w:p>
    <w:p w14:paraId="7B52665B" w14:textId="73826653" w:rsidR="00DC2C70" w:rsidRPr="00B33534" w:rsidRDefault="00B33534" w:rsidP="00F82FF8">
      <w:pPr>
        <w:pStyle w:val="Liststycke"/>
        <w:numPr>
          <w:ilvl w:val="0"/>
          <w:numId w:val="30"/>
        </w:numPr>
        <w:spacing w:after="0"/>
        <w:ind w:left="425" w:hanging="425"/>
        <w:jc w:val="both"/>
        <w:rPr>
          <w:rFonts w:cs="Arial"/>
          <w:sz w:val="22"/>
          <w:szCs w:val="22"/>
        </w:rPr>
      </w:pPr>
      <w:r w:rsidRPr="00B33534">
        <w:rPr>
          <w:rFonts w:cs="Arial"/>
          <w:sz w:val="22"/>
          <w:szCs w:val="22"/>
        </w:rPr>
        <w:t>Stor vikt bör läggas vid universitetens och högskolornas uppgift att, inom ramen för sin utbildnings- och forskningsverksamhet, samverka med det omgivande samhället, informera om sin verksamhet och verka för att forskningsresultat kommer till nytta, men också t.ex. att samverka med forskning som bedrivs utanför högskolorna.</w:t>
      </w:r>
    </w:p>
    <w:p w14:paraId="7C00E86F" w14:textId="77777777" w:rsidR="00DC2C70" w:rsidRPr="00B33534" w:rsidRDefault="00DC2C70" w:rsidP="00BB5625">
      <w:pPr>
        <w:spacing w:after="0"/>
        <w:ind w:left="425" w:hanging="425"/>
        <w:jc w:val="both"/>
        <w:rPr>
          <w:rFonts w:cs="Arial"/>
          <w:sz w:val="22"/>
          <w:szCs w:val="22"/>
        </w:rPr>
      </w:pPr>
    </w:p>
    <w:p w14:paraId="45F334EB" w14:textId="64A7730E" w:rsidR="00C236EB" w:rsidRPr="00D37042" w:rsidRDefault="00DC2C70" w:rsidP="002278D5">
      <w:pPr>
        <w:spacing w:after="120"/>
        <w:ind w:left="426" w:hanging="426"/>
        <w:jc w:val="both"/>
        <w:rPr>
          <w:rFonts w:cs="Arial"/>
          <w:b/>
        </w:rPr>
      </w:pPr>
      <w:r w:rsidRPr="00D37042">
        <w:rPr>
          <w:rFonts w:cs="Arial"/>
          <w:b/>
        </w:rPr>
        <w:t xml:space="preserve">Bättre möjligheter för </w:t>
      </w:r>
      <w:r w:rsidR="00B33534" w:rsidRPr="00D37042">
        <w:rPr>
          <w:rFonts w:cs="Arial"/>
          <w:b/>
        </w:rPr>
        <w:t>fler att få användning för sin kompetens</w:t>
      </w:r>
    </w:p>
    <w:p w14:paraId="629114ED" w14:textId="41E031FF" w:rsidR="00DC2C70" w:rsidRPr="00F82FF8" w:rsidRDefault="00B33534" w:rsidP="00F82FF8">
      <w:pPr>
        <w:pStyle w:val="Liststycke"/>
        <w:numPr>
          <w:ilvl w:val="0"/>
          <w:numId w:val="24"/>
        </w:numPr>
        <w:spacing w:after="120"/>
        <w:ind w:left="425" w:hanging="425"/>
        <w:jc w:val="both"/>
        <w:rPr>
          <w:rFonts w:cs="Arial"/>
          <w:sz w:val="22"/>
          <w:szCs w:val="22"/>
        </w:rPr>
      </w:pPr>
      <w:r w:rsidRPr="00D37042">
        <w:rPr>
          <w:sz w:val="22"/>
          <w:szCs w:val="22"/>
        </w:rPr>
        <w:t>Enligt regeringens mening är det prioriterat att alla som har behov av att få sin reella kompetens bedömd inom högre utbildning erbjuds den möjligheten. Eftersom situationen i dag inte bedöms fungera tillfredsställande anser regeringen att universitet och högskolor under en treårsperiod bör få en tillfällig förstärkning för att utveckla effektivare bedömningar. Regeringen föreslår därför att 30 miljoner kronor avsätts under 2016 och beräknar samma summa årligen under 2017 och 2018 till stöd för lärosätenas arbete med att utveckla processer och strukturer för bedömning av reell kompetens.</w:t>
      </w:r>
    </w:p>
    <w:p w14:paraId="5A62C59D" w14:textId="77777777" w:rsidR="00F82FF8" w:rsidRPr="00D37042" w:rsidRDefault="00F82FF8" w:rsidP="00F82FF8">
      <w:pPr>
        <w:pStyle w:val="Liststycke"/>
        <w:spacing w:after="120"/>
        <w:ind w:left="425"/>
        <w:jc w:val="both"/>
        <w:rPr>
          <w:rFonts w:cs="Arial"/>
          <w:sz w:val="22"/>
          <w:szCs w:val="22"/>
        </w:rPr>
      </w:pPr>
    </w:p>
    <w:p w14:paraId="2D447761" w14:textId="77777777" w:rsidR="00B33534" w:rsidRPr="00F82FF8" w:rsidRDefault="00B33534" w:rsidP="00F82FF8">
      <w:pPr>
        <w:pStyle w:val="Liststycke"/>
        <w:numPr>
          <w:ilvl w:val="0"/>
          <w:numId w:val="24"/>
        </w:numPr>
        <w:spacing w:after="0"/>
        <w:ind w:left="425" w:hanging="425"/>
        <w:jc w:val="both"/>
        <w:rPr>
          <w:rFonts w:cs="Arial"/>
          <w:sz w:val="22"/>
          <w:szCs w:val="22"/>
        </w:rPr>
      </w:pPr>
      <w:r w:rsidRPr="00D37042">
        <w:rPr>
          <w:sz w:val="22"/>
          <w:szCs w:val="22"/>
        </w:rPr>
        <w:t xml:space="preserve">För att stärka myndighetens arbete med bedömning av utländsk kompetens, inklusive arbete avseende yrkeskvalifikationsdirektivet, samt arbete i övrigt med bedömning av reell kompetens i högskolan föreslår regeringen att ytterligare 8 miljoner kronor tillförs Universitets- och högskolerådet 2016. Regeringen beräknar 12,5 miljoner kronor från 2017 för ändamålet utöver vad som tidigare beräknats. </w:t>
      </w:r>
    </w:p>
    <w:p w14:paraId="745C9BBF" w14:textId="77777777" w:rsidR="00F82FF8" w:rsidRPr="00F82FF8" w:rsidRDefault="00F82FF8" w:rsidP="00F82FF8">
      <w:pPr>
        <w:spacing w:after="0"/>
        <w:jc w:val="both"/>
        <w:rPr>
          <w:rFonts w:cs="Arial"/>
          <w:sz w:val="22"/>
          <w:szCs w:val="22"/>
        </w:rPr>
      </w:pPr>
    </w:p>
    <w:p w14:paraId="072D0602" w14:textId="2C0F94BE" w:rsidR="00C236EB" w:rsidRPr="00B33534" w:rsidRDefault="00B33534" w:rsidP="00F82FF8">
      <w:pPr>
        <w:pStyle w:val="Liststycke"/>
        <w:numPr>
          <w:ilvl w:val="0"/>
          <w:numId w:val="24"/>
        </w:numPr>
        <w:spacing w:after="0"/>
        <w:ind w:left="425" w:hanging="425"/>
        <w:jc w:val="both"/>
        <w:rPr>
          <w:rFonts w:cs="Arial"/>
          <w:sz w:val="22"/>
          <w:szCs w:val="22"/>
        </w:rPr>
      </w:pPr>
      <w:r w:rsidRPr="00D37042">
        <w:rPr>
          <w:sz w:val="22"/>
          <w:szCs w:val="22"/>
        </w:rPr>
        <w:t xml:space="preserve">Ett annat viktigt verktyg i matchningen mellan individers kompetens och arbetsmarknadens behov är kompletterande utbildningar. Regeringens särskilda satsning på kompletterande utbildning för personer med avslutad utländsk utbildning omfattar i dag utbildningar för läkare, lärare, tandläkare, sjuksköterskor och jurister. Regeringen menar att en omfattande förstärkning av möjligheterna att delta i kompletterande utbildningar är nödvändig. Detta innefattar bl.a. att fler personer ska ha möjlighet att delta </w:t>
      </w:r>
      <w:r w:rsidRPr="00D37042">
        <w:rPr>
          <w:sz w:val="22"/>
          <w:szCs w:val="22"/>
        </w:rPr>
        <w:lastRenderedPageBreak/>
        <w:t>i de befintliga utbildningarna men också att utbildningar inom fler yrkesområden byggs upp, däribland kompletterande utbildningar för personer med avslutad utländsk psykologutbildning samt biomedicinsk analytikerutbildning. Regeringen föreslår därför att ytterligare 25 miljoner kronor</w:t>
      </w:r>
      <w:r w:rsidRPr="00B33534">
        <w:rPr>
          <w:sz w:val="22"/>
          <w:szCs w:val="22"/>
        </w:rPr>
        <w:t xml:space="preserve"> avsätts för ändamålet 2016 inklusive studiemedel. Regeringen beräknar ytterligare 75 miljoner kronor 2017, 220 miljoner kronor 2018 och 340 miljoner kronor 2019 för ändamålet utöver vad som tidigare beräknats.</w:t>
      </w:r>
    </w:p>
    <w:p w14:paraId="0C84F24D" w14:textId="77777777" w:rsidR="00BA39EE" w:rsidRPr="00B33534" w:rsidRDefault="00BA39EE" w:rsidP="00421144">
      <w:pPr>
        <w:spacing w:after="0"/>
        <w:ind w:left="426" w:hanging="426"/>
        <w:jc w:val="both"/>
        <w:rPr>
          <w:rFonts w:cs="Arial"/>
          <w:sz w:val="22"/>
          <w:szCs w:val="22"/>
        </w:rPr>
      </w:pPr>
    </w:p>
    <w:p w14:paraId="0D5F97DE" w14:textId="48198B39" w:rsidR="009D54FC" w:rsidRPr="00B33534" w:rsidRDefault="00B33534" w:rsidP="00F82FF8">
      <w:pPr>
        <w:spacing w:after="120"/>
        <w:ind w:left="426" w:hanging="426"/>
        <w:jc w:val="both"/>
        <w:rPr>
          <w:rFonts w:cs="Arial"/>
          <w:b/>
        </w:rPr>
      </w:pPr>
      <w:r w:rsidRPr="00B33534">
        <w:rPr>
          <w:rFonts w:cs="Arial"/>
          <w:b/>
        </w:rPr>
        <w:t>Ökad jämställdhet</w:t>
      </w:r>
    </w:p>
    <w:p w14:paraId="7F3B1724" w14:textId="77777777" w:rsidR="00B33534" w:rsidRDefault="00B33534" w:rsidP="00F82FF8">
      <w:pPr>
        <w:pStyle w:val="Default"/>
        <w:numPr>
          <w:ilvl w:val="0"/>
          <w:numId w:val="24"/>
        </w:numPr>
        <w:ind w:left="425" w:hanging="425"/>
        <w:jc w:val="both"/>
        <w:rPr>
          <w:rFonts w:ascii="Georgia" w:eastAsia="Cambria" w:hAnsi="Georgia" w:cs="Times New Roman"/>
          <w:color w:val="auto"/>
          <w:sz w:val="22"/>
          <w:szCs w:val="22"/>
          <w:lang w:eastAsia="en-US"/>
        </w:rPr>
      </w:pPr>
      <w:r w:rsidRPr="00B33534">
        <w:rPr>
          <w:rFonts w:ascii="Georgia" w:eastAsia="Cambria" w:hAnsi="Georgia" w:cs="Times New Roman"/>
          <w:color w:val="auto"/>
          <w:sz w:val="22"/>
          <w:szCs w:val="22"/>
          <w:lang w:eastAsia="en-US"/>
        </w:rPr>
        <w:t xml:space="preserve">Regeringens målsättning för utbildning på grundnivå och avancerad nivå är att könsfördelningen bland studenterna ska vara jämn. Det är angeläget att universitet och högskolor arbetar för att skapa lika möjligheter för kvinnor och män att meritera sig, både inom utbildning på forskarnivå och senare i forskarkarriären. Frågan om nya mål för könsfördelningen bland nyrekryterade professorer på lärosätena bereds inom Regeringskansliet. För att stödja universitet och högskolor i arbetet med jämställdhetsintegrering föreslår regeringen att 5 miljoner kronor avsätts 2016. För 2017–2019 beräknar regeringen 5 miljoner kronor årligen för ändamålet. Regeringen avser att ge Göteborgs </w:t>
      </w:r>
      <w:r w:rsidRPr="00FC7BFC">
        <w:rPr>
          <w:rFonts w:ascii="Georgia" w:eastAsia="Cambria" w:hAnsi="Georgia" w:cs="Times New Roman"/>
          <w:color w:val="auto"/>
          <w:sz w:val="22"/>
          <w:szCs w:val="22"/>
          <w:lang w:eastAsia="en-US"/>
        </w:rPr>
        <w:t xml:space="preserve">universitet, där Nationella sekretariatet för genusforskning finns, i uppdrag att fungera som stödfunktion för lärosätena i arbetet i likhet med det uppdrag som tidigare lämnats inom ramen för utvecklingsprogrammet för jämställdhetsintegrering i statliga myndigheter (U2014/7490/JÄM). </w:t>
      </w:r>
    </w:p>
    <w:p w14:paraId="7E331CD1" w14:textId="77777777" w:rsidR="00F82FF8" w:rsidRPr="00FC7BFC" w:rsidRDefault="00F82FF8" w:rsidP="00F82FF8">
      <w:pPr>
        <w:pStyle w:val="Default"/>
        <w:ind w:left="425"/>
        <w:jc w:val="both"/>
        <w:rPr>
          <w:rFonts w:ascii="Georgia" w:eastAsia="Cambria" w:hAnsi="Georgia" w:cs="Times New Roman"/>
          <w:color w:val="auto"/>
          <w:sz w:val="22"/>
          <w:szCs w:val="22"/>
          <w:lang w:eastAsia="en-US"/>
        </w:rPr>
      </w:pPr>
    </w:p>
    <w:p w14:paraId="0282A929" w14:textId="444B1FDE" w:rsidR="00B33534" w:rsidRPr="00B33534" w:rsidRDefault="00B33534" w:rsidP="00F82FF8">
      <w:pPr>
        <w:spacing w:after="120"/>
        <w:ind w:left="426" w:hanging="426"/>
        <w:jc w:val="both"/>
        <w:rPr>
          <w:rFonts w:cs="Arial"/>
          <w:b/>
        </w:rPr>
      </w:pPr>
      <w:r w:rsidRPr="00B33534">
        <w:rPr>
          <w:rFonts w:cs="Arial"/>
          <w:b/>
        </w:rPr>
        <w:t xml:space="preserve">En högskola för alla </w:t>
      </w:r>
    </w:p>
    <w:p w14:paraId="695AE2F7" w14:textId="55B560FB" w:rsidR="009D54FC" w:rsidRPr="00F82FF8" w:rsidRDefault="00F93F72" w:rsidP="00F82FF8">
      <w:pPr>
        <w:pStyle w:val="Liststycke"/>
        <w:numPr>
          <w:ilvl w:val="0"/>
          <w:numId w:val="24"/>
        </w:numPr>
        <w:autoSpaceDE w:val="0"/>
        <w:autoSpaceDN w:val="0"/>
        <w:adjustRightInd w:val="0"/>
        <w:spacing w:after="120"/>
        <w:ind w:left="426" w:hanging="426"/>
        <w:jc w:val="both"/>
        <w:rPr>
          <w:rFonts w:cs="Arial"/>
          <w:sz w:val="22"/>
          <w:szCs w:val="22"/>
        </w:rPr>
      </w:pPr>
      <w:r w:rsidRPr="00FC7BFC">
        <w:rPr>
          <w:sz w:val="22"/>
          <w:szCs w:val="22"/>
        </w:rPr>
        <w:t xml:space="preserve">Den svenska högskolan ska vara välkomnande och ett möjligt val för alla som har förutsättningar att klara högskolestudier – oavsett bakgrund, kön eller funktions-nedsättning. Den mångfald som finns i samhället måste i större utsträckning avspeglas i högskolan. Universitets och högskolors arbete med breddad rekrytering är viktigt. Regeringen har därför gett Universitets- och högskolerådet i uppdrag att kartlägga och analysera lärosätenas </w:t>
      </w:r>
      <w:r w:rsidR="00FC7BFC" w:rsidRPr="00FC7BFC">
        <w:rPr>
          <w:sz w:val="22"/>
          <w:szCs w:val="22"/>
        </w:rPr>
        <w:t>arbete med breddad rekrytering till och breddat deltagande i högskolan. I uppdraget ingår att presentera goda exempel och att sprida information om dessa. Uppdraget ska redovisas senast den 1 april 2016.</w:t>
      </w:r>
    </w:p>
    <w:p w14:paraId="18B36D7B" w14:textId="77777777" w:rsidR="00F82FF8" w:rsidRPr="00FC7BFC" w:rsidRDefault="00F82FF8" w:rsidP="00F82FF8">
      <w:pPr>
        <w:pStyle w:val="Liststycke"/>
        <w:autoSpaceDE w:val="0"/>
        <w:autoSpaceDN w:val="0"/>
        <w:adjustRightInd w:val="0"/>
        <w:spacing w:after="120"/>
        <w:ind w:left="426"/>
        <w:jc w:val="both"/>
        <w:rPr>
          <w:rFonts w:cs="Arial"/>
          <w:sz w:val="22"/>
          <w:szCs w:val="22"/>
        </w:rPr>
      </w:pPr>
    </w:p>
    <w:p w14:paraId="47CF131E" w14:textId="024EE667" w:rsidR="00FC7BFC" w:rsidRPr="00FC7BFC" w:rsidRDefault="00FC7BFC" w:rsidP="00F82FF8">
      <w:pPr>
        <w:pStyle w:val="Liststycke"/>
        <w:numPr>
          <w:ilvl w:val="0"/>
          <w:numId w:val="24"/>
        </w:numPr>
        <w:autoSpaceDE w:val="0"/>
        <w:autoSpaceDN w:val="0"/>
        <w:adjustRightInd w:val="0"/>
        <w:spacing w:after="0"/>
        <w:ind w:left="425" w:hanging="425"/>
        <w:jc w:val="both"/>
        <w:rPr>
          <w:sz w:val="22"/>
          <w:szCs w:val="22"/>
        </w:rPr>
      </w:pPr>
      <w:r w:rsidRPr="00FC7BFC">
        <w:rPr>
          <w:sz w:val="22"/>
          <w:szCs w:val="22"/>
        </w:rPr>
        <w:t>En viktig förutsättning för svensk forskning i världsklass är att Sverige lyckas attrahera unga forskarbegåvningar både nationellt och internationellt. Forskningsgenombrott sker ofta tidigt i forskarkarriären. I syfte att säkra återväxten av framstående unga forskare beslutade regeringen i juni 2015 att ge en särskild utredare i uppdrag att se över bl.a. hur villkoren kan förbättras för kvinnor och män som är doktorander och hur den meriteringsanställning som regleras i högskoleförordningen kan förändras i syfte att skapa en attraktiv forskarkarriär liksom hur användningen av på varandra följande tidsbegränsade anställningar under lång tid i högskolan kan motverkas (dir. 2015:74). Uppdraget ska redovisas senast den 31 mars 2016.</w:t>
      </w:r>
    </w:p>
    <w:p w14:paraId="57E66CCA" w14:textId="77777777" w:rsidR="009D54FC" w:rsidRPr="00FC7BFC" w:rsidRDefault="009D54FC" w:rsidP="00F82FF8">
      <w:pPr>
        <w:spacing w:after="0"/>
        <w:ind w:left="425" w:hanging="426"/>
        <w:jc w:val="both"/>
        <w:rPr>
          <w:rFonts w:cs="Arial"/>
          <w:sz w:val="22"/>
          <w:szCs w:val="22"/>
        </w:rPr>
      </w:pPr>
    </w:p>
    <w:p w14:paraId="35CE4576" w14:textId="77777777" w:rsidR="00E00B8E" w:rsidRDefault="00E00B8E">
      <w:pPr>
        <w:spacing w:after="0"/>
        <w:rPr>
          <w:rFonts w:cs="Arial"/>
          <w:b/>
        </w:rPr>
      </w:pPr>
      <w:r>
        <w:rPr>
          <w:rFonts w:cs="Arial"/>
          <w:b/>
        </w:rPr>
        <w:br w:type="page"/>
      </w:r>
    </w:p>
    <w:p w14:paraId="384C42FC" w14:textId="4142AC06" w:rsidR="009D54FC" w:rsidRPr="00FC7BFC" w:rsidRDefault="00FC7BFC" w:rsidP="00F82FF8">
      <w:pPr>
        <w:spacing w:after="120"/>
        <w:ind w:left="426" w:hanging="426"/>
        <w:jc w:val="both"/>
        <w:rPr>
          <w:rFonts w:cs="Arial"/>
          <w:b/>
        </w:rPr>
      </w:pPr>
      <w:r w:rsidRPr="00FC7BFC">
        <w:rPr>
          <w:rFonts w:cs="Arial"/>
          <w:b/>
        </w:rPr>
        <w:lastRenderedPageBreak/>
        <w:t>Förbättrad ledning och styrning</w:t>
      </w:r>
    </w:p>
    <w:p w14:paraId="270B8D5D" w14:textId="2139F2B2" w:rsidR="009D54FC" w:rsidRPr="00FC7BFC" w:rsidRDefault="00FC7BFC" w:rsidP="00F82FF8">
      <w:pPr>
        <w:numPr>
          <w:ilvl w:val="0"/>
          <w:numId w:val="10"/>
        </w:numPr>
        <w:spacing w:after="0"/>
        <w:ind w:left="425" w:hanging="425"/>
        <w:jc w:val="both"/>
        <w:rPr>
          <w:rFonts w:cs="Arial"/>
          <w:sz w:val="22"/>
          <w:szCs w:val="22"/>
        </w:rPr>
      </w:pPr>
      <w:r w:rsidRPr="00FC7BFC">
        <w:rPr>
          <w:sz w:val="22"/>
          <w:szCs w:val="22"/>
        </w:rPr>
        <w:t xml:space="preserve">Ett välfungerande ledarskap vid universitet och högskolor är avgörande för att med hög kvalitet kunna bedriva utbildning och forskning. maj 2014 fick en särskild utredare i uppdrag att kartlägga och analysera ledarskapet i den svenska högskolan och lämna förslag på utvecklingsåtgärder (dir. 2014:70). Syftet är att skapa bättre förutsättningar för ett effektivt och välfungerande ledarskap med förmåga att fatta svåra beslut och göra strategiska prioriteringar för att uppnå högsta möjliga kvalitet i utbildning och forskning. </w:t>
      </w:r>
    </w:p>
    <w:p w14:paraId="3F417C4C" w14:textId="77777777" w:rsidR="00FC7BFC" w:rsidRPr="00FC7BFC" w:rsidRDefault="00FC7BFC" w:rsidP="00F82FF8">
      <w:pPr>
        <w:spacing w:after="0"/>
        <w:ind w:left="425" w:firstLine="1304"/>
        <w:jc w:val="both"/>
        <w:rPr>
          <w:rFonts w:cs="Arial"/>
          <w:sz w:val="22"/>
          <w:szCs w:val="22"/>
        </w:rPr>
      </w:pPr>
    </w:p>
    <w:p w14:paraId="4AE71F16" w14:textId="183E6745" w:rsidR="009D54FC" w:rsidRPr="00FC7BFC" w:rsidRDefault="00FC7BFC" w:rsidP="00F82FF8">
      <w:pPr>
        <w:spacing w:after="120"/>
        <w:ind w:left="425" w:hanging="426"/>
        <w:jc w:val="both"/>
        <w:rPr>
          <w:rFonts w:cs="Arial"/>
          <w:b/>
        </w:rPr>
      </w:pPr>
      <w:r w:rsidRPr="00FC7BFC">
        <w:rPr>
          <w:rFonts w:cs="Arial"/>
          <w:b/>
        </w:rPr>
        <w:t>Förändring av vissa utbildningar</w:t>
      </w:r>
    </w:p>
    <w:p w14:paraId="455938D5" w14:textId="13E1735A" w:rsidR="00893339" w:rsidRPr="00FC7BFC" w:rsidRDefault="00FC7BFC" w:rsidP="00F82FF8">
      <w:pPr>
        <w:numPr>
          <w:ilvl w:val="0"/>
          <w:numId w:val="10"/>
        </w:numPr>
        <w:spacing w:after="120"/>
        <w:ind w:left="426" w:hanging="426"/>
        <w:jc w:val="both"/>
        <w:rPr>
          <w:rFonts w:cs="Arial"/>
          <w:sz w:val="22"/>
          <w:szCs w:val="22"/>
        </w:rPr>
      </w:pPr>
      <w:r w:rsidRPr="00FC7BFC">
        <w:rPr>
          <w:sz w:val="22"/>
          <w:szCs w:val="22"/>
        </w:rPr>
        <w:t xml:space="preserve">Läkarutbildningen och läkarförsörjningen är en fråga som berör flera aktörer. Regeringen anser att det är viktigt att föra en dialog med berörda parter för att belysa konsekvenser av eventuella förändringar av utbildningen. Under våren 2015 remitterades därför betänkandet För framtidens hälsa – en ny läkarutbildning (SOU 2013:15). Frågan bereds för närvarande i Regeringskansliet. </w:t>
      </w:r>
    </w:p>
    <w:p w14:paraId="4B12F167" w14:textId="69F64FD8" w:rsidR="00FC7BFC" w:rsidRPr="00FC7BFC" w:rsidRDefault="00FC7BFC" w:rsidP="00F82FF8">
      <w:pPr>
        <w:numPr>
          <w:ilvl w:val="0"/>
          <w:numId w:val="10"/>
        </w:numPr>
        <w:spacing w:after="120"/>
        <w:ind w:left="426" w:hanging="426"/>
        <w:jc w:val="both"/>
        <w:rPr>
          <w:rFonts w:cs="Arial"/>
          <w:sz w:val="22"/>
          <w:szCs w:val="22"/>
        </w:rPr>
      </w:pPr>
      <w:r>
        <w:rPr>
          <w:sz w:val="22"/>
          <w:szCs w:val="22"/>
        </w:rPr>
        <w:t xml:space="preserve">För att stärka polisens förmåga att bekämpa en brottslighet som i takt med samhällets utveckling ständigt finner nya former, krävs en polisutbildning med tydlig förankring i vetenskap och beprövad erfarenhet. En utredare har därför fått i </w:t>
      </w:r>
      <w:r w:rsidRPr="00FC7BFC">
        <w:rPr>
          <w:sz w:val="22"/>
          <w:szCs w:val="22"/>
        </w:rPr>
        <w:t>uppgift att lämna förslag till hur polisutbildningen kan omformas till en ändamålsenlig högskoleutbildning (dir. 2015:29). Uppdraget ska redovisas senast den 15 april 2016.</w:t>
      </w:r>
    </w:p>
    <w:p w14:paraId="27BB26A0" w14:textId="6B38493F" w:rsidR="00FC7BFC" w:rsidRDefault="00FC7BFC" w:rsidP="00F82FF8">
      <w:pPr>
        <w:numPr>
          <w:ilvl w:val="0"/>
          <w:numId w:val="10"/>
        </w:numPr>
        <w:spacing w:after="0"/>
        <w:ind w:left="426" w:hanging="426"/>
        <w:jc w:val="both"/>
        <w:rPr>
          <w:rFonts w:cs="Arial"/>
          <w:sz w:val="22"/>
          <w:szCs w:val="22"/>
        </w:rPr>
      </w:pPr>
      <w:r w:rsidRPr="00FC7BFC">
        <w:rPr>
          <w:rFonts w:cs="Arial"/>
          <w:sz w:val="22"/>
          <w:szCs w:val="22"/>
        </w:rPr>
        <w:t>En översyn pågår av folkhögskolelä</w:t>
      </w:r>
      <w:r>
        <w:rPr>
          <w:rFonts w:cs="Arial"/>
          <w:sz w:val="22"/>
          <w:szCs w:val="22"/>
        </w:rPr>
        <w:t xml:space="preserve">rarexamen respektive </w:t>
      </w:r>
      <w:r w:rsidRPr="00FC7BFC">
        <w:rPr>
          <w:rFonts w:cs="Arial"/>
          <w:sz w:val="22"/>
          <w:szCs w:val="22"/>
        </w:rPr>
        <w:t xml:space="preserve">tandhygienistutbildningen. </w:t>
      </w:r>
    </w:p>
    <w:p w14:paraId="695EF2F1" w14:textId="77777777" w:rsidR="00FC7BFC" w:rsidRDefault="00FC7BFC" w:rsidP="00F82FF8">
      <w:pPr>
        <w:spacing w:after="0"/>
        <w:jc w:val="both"/>
        <w:rPr>
          <w:rFonts w:cs="Arial"/>
          <w:sz w:val="22"/>
          <w:szCs w:val="22"/>
        </w:rPr>
      </w:pPr>
    </w:p>
    <w:p w14:paraId="7A9AE788" w14:textId="23B14066" w:rsidR="00FC7BFC" w:rsidRDefault="00FC7BFC" w:rsidP="00F82FF8">
      <w:pPr>
        <w:spacing w:after="120"/>
        <w:jc w:val="both"/>
        <w:rPr>
          <w:rFonts w:cs="Arial"/>
          <w:b/>
        </w:rPr>
      </w:pPr>
      <w:r w:rsidRPr="00FC7BFC">
        <w:rPr>
          <w:rFonts w:cs="Arial"/>
          <w:b/>
        </w:rPr>
        <w:t>Övriga frågor</w:t>
      </w:r>
    </w:p>
    <w:p w14:paraId="59962179" w14:textId="6CC58A4E" w:rsidR="00045CD6" w:rsidRPr="00F82FF8" w:rsidRDefault="00045CD6" w:rsidP="00F82FF8">
      <w:pPr>
        <w:pStyle w:val="Liststycke"/>
        <w:numPr>
          <w:ilvl w:val="0"/>
          <w:numId w:val="31"/>
        </w:numPr>
        <w:spacing w:after="120"/>
        <w:ind w:left="426" w:hanging="426"/>
        <w:jc w:val="both"/>
        <w:rPr>
          <w:rFonts w:cs="Arial"/>
          <w:b/>
        </w:rPr>
      </w:pPr>
      <w:r>
        <w:rPr>
          <w:sz w:val="22"/>
          <w:szCs w:val="22"/>
        </w:rPr>
        <w:t>För att stimulera, samordna och följa det nationella arbetet med utbildning för hållbar utveckling, avser regeringen att ge Uppsala universitet i uppdrag att samordna arbetet med globalt handlingsprogram för utbildning för hållbar utveckling (GAP) i Sverige.</w:t>
      </w:r>
    </w:p>
    <w:p w14:paraId="15BCBAFA" w14:textId="77777777" w:rsidR="00F82FF8" w:rsidRPr="00F82FF8" w:rsidRDefault="00F82FF8" w:rsidP="00F82FF8">
      <w:pPr>
        <w:pStyle w:val="Liststycke"/>
        <w:spacing w:after="120"/>
        <w:ind w:left="426"/>
        <w:jc w:val="both"/>
        <w:rPr>
          <w:rFonts w:cs="Arial"/>
          <w:b/>
          <w:sz w:val="20"/>
          <w:szCs w:val="20"/>
        </w:rPr>
      </w:pPr>
    </w:p>
    <w:p w14:paraId="7157C978" w14:textId="35CB7630" w:rsidR="00045CD6" w:rsidRPr="00C152DA" w:rsidRDefault="00045CD6" w:rsidP="00F82FF8">
      <w:pPr>
        <w:pStyle w:val="Liststycke"/>
        <w:numPr>
          <w:ilvl w:val="0"/>
          <w:numId w:val="31"/>
        </w:numPr>
        <w:spacing w:after="120"/>
        <w:ind w:left="426" w:hanging="426"/>
        <w:jc w:val="both"/>
        <w:rPr>
          <w:rFonts w:cs="Arial"/>
          <w:b/>
        </w:rPr>
      </w:pPr>
      <w:r>
        <w:rPr>
          <w:sz w:val="22"/>
          <w:szCs w:val="22"/>
        </w:rPr>
        <w:t>Syftet med yrkeskvalifikationsdirektivet (direktiv 2005/36/EG om erkännande av yrkeskvalifikationer) är att avskaffa hinder för den fria rörligheten för personer och tjänster och att underlätta för anställda och egenföretagare att utöva ett reglerat yrke i ett annat land inom EU eller EES. Regeringen föreslår bl.a. en ny lag om erkännande om yrkeskvalifikationer och följdändringar i ett antal andra lagar. Regeringen avser att återkomma till riksdagen med förslag till genomförande.</w:t>
      </w:r>
    </w:p>
    <w:p w14:paraId="342B23CB" w14:textId="77777777" w:rsidR="00C152DA" w:rsidRDefault="00C152DA" w:rsidP="00F82FF8">
      <w:pPr>
        <w:spacing w:after="120"/>
        <w:jc w:val="both"/>
        <w:rPr>
          <w:rFonts w:cs="Arial"/>
          <w:b/>
        </w:rPr>
      </w:pPr>
    </w:p>
    <w:p w14:paraId="3716DC41" w14:textId="77777777" w:rsidR="00E00B8E" w:rsidRDefault="00E00B8E">
      <w:pPr>
        <w:spacing w:after="0"/>
        <w:rPr>
          <w:rFonts w:cs="Arial"/>
          <w:b/>
          <w:i/>
          <w:sz w:val="28"/>
          <w:szCs w:val="28"/>
        </w:rPr>
      </w:pPr>
      <w:r>
        <w:rPr>
          <w:rFonts w:cs="Arial"/>
          <w:b/>
          <w:i/>
          <w:sz w:val="28"/>
          <w:szCs w:val="28"/>
        </w:rPr>
        <w:br w:type="page"/>
      </w:r>
    </w:p>
    <w:p w14:paraId="59838995" w14:textId="2265D130" w:rsidR="00C152DA" w:rsidRDefault="00C152DA" w:rsidP="00F82FF8">
      <w:pPr>
        <w:spacing w:after="120"/>
        <w:jc w:val="both"/>
        <w:rPr>
          <w:rFonts w:cs="Arial"/>
          <w:b/>
          <w:i/>
          <w:sz w:val="28"/>
          <w:szCs w:val="28"/>
        </w:rPr>
      </w:pPr>
      <w:r w:rsidRPr="00F82FF8">
        <w:rPr>
          <w:rFonts w:cs="Arial"/>
          <w:b/>
          <w:i/>
          <w:sz w:val="28"/>
          <w:szCs w:val="28"/>
        </w:rPr>
        <w:lastRenderedPageBreak/>
        <w:t>Forskning</w:t>
      </w:r>
    </w:p>
    <w:p w14:paraId="1E5C7CAC" w14:textId="519B50E8" w:rsidR="00736590" w:rsidRDefault="00736590" w:rsidP="00736590">
      <w:pPr>
        <w:spacing w:after="0"/>
        <w:jc w:val="both"/>
        <w:rPr>
          <w:sz w:val="22"/>
          <w:szCs w:val="22"/>
        </w:rPr>
      </w:pPr>
      <w:r>
        <w:rPr>
          <w:sz w:val="22"/>
          <w:szCs w:val="22"/>
        </w:rPr>
        <w:t>Det övergripande målet för regeringens forskningspolitik är att Sverige ska vara en fram-stående forskningsnation, där forskning och innovation bedrivs med hög kvalitet och bidrar till samhällets utveckling och näringslivets konkurrenskraft.</w:t>
      </w:r>
    </w:p>
    <w:p w14:paraId="5D278EBA" w14:textId="77777777" w:rsidR="00736590" w:rsidRDefault="00736590" w:rsidP="00736590">
      <w:pPr>
        <w:spacing w:after="0"/>
        <w:jc w:val="both"/>
        <w:rPr>
          <w:rFonts w:cs="Arial"/>
          <w:b/>
          <w:sz w:val="22"/>
          <w:szCs w:val="22"/>
        </w:rPr>
      </w:pPr>
    </w:p>
    <w:p w14:paraId="182E51C4" w14:textId="2A8D9E00" w:rsidR="00C152DA" w:rsidRPr="00F82FF8" w:rsidRDefault="00C152DA" w:rsidP="00F82FF8">
      <w:pPr>
        <w:spacing w:after="120"/>
        <w:jc w:val="both"/>
        <w:rPr>
          <w:rFonts w:cs="Arial"/>
          <w:b/>
          <w:i/>
          <w:sz w:val="22"/>
          <w:szCs w:val="22"/>
        </w:rPr>
      </w:pPr>
      <w:r w:rsidRPr="00F82FF8">
        <w:rPr>
          <w:rFonts w:cs="Arial"/>
          <w:b/>
          <w:sz w:val="22"/>
          <w:szCs w:val="22"/>
        </w:rPr>
        <w:t>Allmänt</w:t>
      </w:r>
    </w:p>
    <w:p w14:paraId="46A06517" w14:textId="77777777" w:rsidR="00C152DA" w:rsidRPr="009E0B14" w:rsidRDefault="00C152DA" w:rsidP="00F82FF8">
      <w:pPr>
        <w:numPr>
          <w:ilvl w:val="0"/>
          <w:numId w:val="10"/>
        </w:numPr>
        <w:spacing w:after="120"/>
        <w:ind w:left="426"/>
        <w:jc w:val="both"/>
        <w:rPr>
          <w:rFonts w:cs="Arial"/>
          <w:sz w:val="22"/>
          <w:szCs w:val="22"/>
        </w:rPr>
      </w:pPr>
      <w:r>
        <w:rPr>
          <w:rFonts w:cs="Arial"/>
          <w:sz w:val="22"/>
          <w:szCs w:val="22"/>
        </w:rPr>
        <w:t xml:space="preserve">Regeringen finner att svensk forskning, sett till antalet publicerade artiklar och medelcitering, står sig relativt väl i en internationell jämförelse. </w:t>
      </w:r>
      <w:r w:rsidRPr="005B0F98">
        <w:rPr>
          <w:rFonts w:cs="Arial"/>
          <w:sz w:val="22"/>
          <w:szCs w:val="22"/>
        </w:rPr>
        <w:t xml:space="preserve">I takt med </w:t>
      </w:r>
      <w:r>
        <w:rPr>
          <w:rFonts w:cs="Arial"/>
          <w:sz w:val="22"/>
          <w:szCs w:val="22"/>
        </w:rPr>
        <w:t>en</w:t>
      </w:r>
      <w:r w:rsidRPr="005B0F98">
        <w:rPr>
          <w:rFonts w:cs="Arial"/>
          <w:sz w:val="22"/>
          <w:szCs w:val="22"/>
        </w:rPr>
        <w:t xml:space="preserve"> ökad</w:t>
      </w:r>
      <w:r>
        <w:rPr>
          <w:rFonts w:cs="Arial"/>
          <w:sz w:val="22"/>
          <w:szCs w:val="22"/>
        </w:rPr>
        <w:t xml:space="preserve"> finansiering</w:t>
      </w:r>
      <w:r w:rsidRPr="005B0F98">
        <w:rPr>
          <w:rFonts w:cs="Arial"/>
          <w:sz w:val="22"/>
          <w:szCs w:val="22"/>
        </w:rPr>
        <w:t xml:space="preserve"> har antalet publicerade artiklar från Sverige ökat</w:t>
      </w:r>
      <w:r>
        <w:rPr>
          <w:rFonts w:cs="Arial"/>
          <w:sz w:val="22"/>
          <w:szCs w:val="22"/>
        </w:rPr>
        <w:t xml:space="preserve"> även om</w:t>
      </w:r>
      <w:r w:rsidRPr="005B0F98">
        <w:rPr>
          <w:rFonts w:eastAsia="Times New Roman"/>
        </w:rPr>
        <w:t xml:space="preserve"> </w:t>
      </w:r>
      <w:r w:rsidRPr="005B0F98">
        <w:rPr>
          <w:rFonts w:cs="Arial"/>
          <w:sz w:val="22"/>
          <w:szCs w:val="22"/>
        </w:rPr>
        <w:t xml:space="preserve">ökningen per capita har varit större i flera </w:t>
      </w:r>
      <w:r>
        <w:rPr>
          <w:rFonts w:cs="Arial"/>
          <w:sz w:val="22"/>
          <w:szCs w:val="22"/>
        </w:rPr>
        <w:t xml:space="preserve">länder (ex. Schweiz och Danmark). Avseende medelcitering har den </w:t>
      </w:r>
      <w:r w:rsidRPr="009E0B14">
        <w:rPr>
          <w:rFonts w:cs="Arial"/>
          <w:sz w:val="22"/>
          <w:szCs w:val="22"/>
        </w:rPr>
        <w:t>kraftig</w:t>
      </w:r>
      <w:r>
        <w:rPr>
          <w:rFonts w:cs="Arial"/>
          <w:sz w:val="22"/>
          <w:szCs w:val="22"/>
        </w:rPr>
        <w:t>aste</w:t>
      </w:r>
      <w:r w:rsidRPr="009E0B14">
        <w:rPr>
          <w:rFonts w:cs="Arial"/>
          <w:sz w:val="22"/>
          <w:szCs w:val="22"/>
        </w:rPr>
        <w:t xml:space="preserve"> ökningen för svensk del varit inom de medicinska områdena, vilket också är det område som fått störst tillskott av medel. </w:t>
      </w:r>
    </w:p>
    <w:p w14:paraId="1252EFDC" w14:textId="77777777" w:rsidR="00C152DA" w:rsidRPr="00FA275C" w:rsidRDefault="00C152DA" w:rsidP="00F82FF8">
      <w:pPr>
        <w:numPr>
          <w:ilvl w:val="0"/>
          <w:numId w:val="10"/>
        </w:numPr>
        <w:spacing w:after="120"/>
        <w:ind w:left="426"/>
        <w:jc w:val="both"/>
        <w:rPr>
          <w:rFonts w:cs="Arial"/>
          <w:sz w:val="22"/>
          <w:szCs w:val="22"/>
        </w:rPr>
      </w:pPr>
      <w:r>
        <w:rPr>
          <w:rFonts w:cs="Arial"/>
          <w:sz w:val="22"/>
          <w:szCs w:val="22"/>
        </w:rPr>
        <w:t xml:space="preserve">Regeringen välkomnar VR:s nya </w:t>
      </w:r>
      <w:r w:rsidRPr="00FA275C">
        <w:rPr>
          <w:rFonts w:cs="Arial"/>
          <w:sz w:val="22"/>
          <w:szCs w:val="22"/>
        </w:rPr>
        <w:t xml:space="preserve">modell för prioritering, finansiering, organisation och styrning av forskningsinfrastruktur av nationellt intresse </w:t>
      </w:r>
      <w:r>
        <w:rPr>
          <w:rFonts w:cs="Arial"/>
          <w:sz w:val="22"/>
          <w:szCs w:val="22"/>
        </w:rPr>
        <w:t xml:space="preserve">och menar </w:t>
      </w:r>
      <w:r w:rsidRPr="00FA275C">
        <w:rPr>
          <w:rFonts w:cs="Arial"/>
          <w:sz w:val="22"/>
          <w:szCs w:val="22"/>
        </w:rPr>
        <w:t xml:space="preserve">att </w:t>
      </w:r>
      <w:r>
        <w:rPr>
          <w:rFonts w:cs="Arial"/>
          <w:sz w:val="22"/>
          <w:szCs w:val="22"/>
        </w:rPr>
        <w:t xml:space="preserve">den utgör en </w:t>
      </w:r>
      <w:r w:rsidRPr="00FA275C">
        <w:rPr>
          <w:rFonts w:cs="Arial"/>
          <w:sz w:val="22"/>
          <w:szCs w:val="22"/>
        </w:rPr>
        <w:t xml:space="preserve">välkommen resurseffektivisering. </w:t>
      </w:r>
    </w:p>
    <w:p w14:paraId="12C88FDC" w14:textId="77777777" w:rsidR="00C152DA" w:rsidRDefault="00C152DA" w:rsidP="00F82FF8">
      <w:pPr>
        <w:numPr>
          <w:ilvl w:val="0"/>
          <w:numId w:val="10"/>
        </w:numPr>
        <w:spacing w:after="120"/>
        <w:ind w:left="426"/>
        <w:jc w:val="both"/>
        <w:rPr>
          <w:rFonts w:cs="Arial"/>
          <w:sz w:val="22"/>
          <w:szCs w:val="22"/>
        </w:rPr>
      </w:pPr>
      <w:r>
        <w:rPr>
          <w:rFonts w:cs="Arial"/>
          <w:sz w:val="22"/>
          <w:szCs w:val="22"/>
        </w:rPr>
        <w:t>Förslag</w:t>
      </w:r>
      <w:r w:rsidRPr="00593069">
        <w:rPr>
          <w:rFonts w:cs="Arial"/>
          <w:sz w:val="22"/>
          <w:szCs w:val="22"/>
        </w:rPr>
        <w:t xml:space="preserve"> till forskningskvalite</w:t>
      </w:r>
      <w:r>
        <w:rPr>
          <w:rFonts w:cs="Arial"/>
          <w:sz w:val="22"/>
          <w:szCs w:val="22"/>
        </w:rPr>
        <w:t>tsutvärdering i Sverige (FOKUS) – regeringen meddelar att f</w:t>
      </w:r>
      <w:r w:rsidRPr="00E31904">
        <w:rPr>
          <w:rFonts w:cs="Arial"/>
          <w:sz w:val="22"/>
          <w:szCs w:val="22"/>
        </w:rPr>
        <w:t xml:space="preserve">örslaget bereds </w:t>
      </w:r>
      <w:r>
        <w:rPr>
          <w:rFonts w:cs="Arial"/>
          <w:sz w:val="22"/>
          <w:szCs w:val="22"/>
        </w:rPr>
        <w:t xml:space="preserve">nu </w:t>
      </w:r>
      <w:r w:rsidRPr="00E31904">
        <w:rPr>
          <w:rFonts w:cs="Arial"/>
          <w:sz w:val="22"/>
          <w:szCs w:val="22"/>
        </w:rPr>
        <w:t xml:space="preserve">inom Regeringskansliet. </w:t>
      </w:r>
    </w:p>
    <w:p w14:paraId="3343A298" w14:textId="77777777" w:rsidR="00C152DA" w:rsidRDefault="00C152DA" w:rsidP="00736590">
      <w:pPr>
        <w:numPr>
          <w:ilvl w:val="0"/>
          <w:numId w:val="10"/>
        </w:numPr>
        <w:spacing w:after="120"/>
        <w:ind w:left="426" w:hanging="357"/>
        <w:jc w:val="both"/>
        <w:rPr>
          <w:rFonts w:cs="Arial"/>
          <w:sz w:val="22"/>
          <w:szCs w:val="22"/>
        </w:rPr>
      </w:pPr>
      <w:r w:rsidRPr="008914DC">
        <w:rPr>
          <w:rFonts w:cs="Arial"/>
          <w:sz w:val="22"/>
          <w:szCs w:val="22"/>
        </w:rPr>
        <w:t>Regeringen avser att undersöka förutsättningarna för att ge V</w:t>
      </w:r>
      <w:r>
        <w:rPr>
          <w:rFonts w:cs="Arial"/>
          <w:sz w:val="22"/>
          <w:szCs w:val="22"/>
        </w:rPr>
        <w:t>R</w:t>
      </w:r>
      <w:r w:rsidRPr="008914DC">
        <w:rPr>
          <w:rFonts w:cs="Arial"/>
          <w:sz w:val="22"/>
          <w:szCs w:val="22"/>
        </w:rPr>
        <w:t xml:space="preserve"> ett nationellt samordningsuppdrag för öppen tillgång till forskningsdata. På samma sätt avser regeringen att undersöka förutsättningarna för att ge Kungl. biblioteket ett nationellt samordningsuppdrag för öppen tillgång till vetenskapliga publikationer.</w:t>
      </w:r>
      <w:r>
        <w:rPr>
          <w:rFonts w:cs="Arial"/>
          <w:sz w:val="22"/>
          <w:szCs w:val="22"/>
        </w:rPr>
        <w:t xml:space="preserve"> Detta med bakgrund av </w:t>
      </w:r>
      <w:r w:rsidRPr="003B18A8">
        <w:rPr>
          <w:rFonts w:cs="Arial"/>
          <w:sz w:val="22"/>
          <w:szCs w:val="22"/>
        </w:rPr>
        <w:t>V</w:t>
      </w:r>
      <w:r>
        <w:rPr>
          <w:rFonts w:cs="Arial"/>
          <w:sz w:val="22"/>
          <w:szCs w:val="22"/>
        </w:rPr>
        <w:t xml:space="preserve">R </w:t>
      </w:r>
      <w:r w:rsidRPr="003B18A8">
        <w:rPr>
          <w:rFonts w:cs="Arial"/>
          <w:sz w:val="22"/>
          <w:szCs w:val="22"/>
        </w:rPr>
        <w:t>förslag till nationella riktlinjer för öppen tillgång till vetenskaplig information till regeringen (U2015/00206/F)</w:t>
      </w:r>
      <w:r>
        <w:rPr>
          <w:rFonts w:cs="Arial"/>
          <w:sz w:val="22"/>
          <w:szCs w:val="22"/>
        </w:rPr>
        <w:t>.</w:t>
      </w:r>
    </w:p>
    <w:p w14:paraId="39028EF3" w14:textId="23595B54" w:rsidR="00C152DA" w:rsidRPr="00C152DA" w:rsidRDefault="00C152DA" w:rsidP="00736590">
      <w:pPr>
        <w:numPr>
          <w:ilvl w:val="0"/>
          <w:numId w:val="10"/>
        </w:numPr>
        <w:spacing w:after="120"/>
        <w:ind w:left="426" w:hanging="357"/>
        <w:jc w:val="both"/>
        <w:rPr>
          <w:rFonts w:cs="Arial"/>
          <w:sz w:val="22"/>
          <w:szCs w:val="22"/>
        </w:rPr>
      </w:pPr>
      <w:r w:rsidRPr="00C152DA">
        <w:rPr>
          <w:rFonts w:cs="Arial"/>
          <w:sz w:val="22"/>
          <w:szCs w:val="22"/>
        </w:rPr>
        <w:t xml:space="preserve">Polarforskningssekretariatets ansträngningar med vidareutveckling av Abisko naturvetenskapliga station har lett till att stationen kvalitetsgodkänts. Ansträngningarna att vidareutveckla stationen har skapat stort internationellt intresse i forskarsamhället med över 60 procent av de besökande forskarna från internationella lärosäten, vilket ytterligare stärker Sverige </w:t>
      </w:r>
      <w:r w:rsidRPr="00C152DA">
        <w:rPr>
          <w:rFonts w:eastAsia="Times New Roman"/>
          <w:sz w:val="22"/>
          <w:szCs w:val="22"/>
        </w:rPr>
        <w:t>som internationell forskningsaktör.</w:t>
      </w:r>
    </w:p>
    <w:p w14:paraId="6700FE97" w14:textId="4D5E62D6" w:rsidR="00C152DA" w:rsidRPr="00C152DA" w:rsidRDefault="00C152DA" w:rsidP="00736590">
      <w:pPr>
        <w:pStyle w:val="Liststycke"/>
        <w:numPr>
          <w:ilvl w:val="0"/>
          <w:numId w:val="34"/>
        </w:numPr>
        <w:spacing w:after="0"/>
        <w:ind w:left="426" w:hanging="426"/>
        <w:jc w:val="both"/>
        <w:rPr>
          <w:rFonts w:cs="Arial"/>
          <w:sz w:val="22"/>
          <w:szCs w:val="22"/>
        </w:rPr>
      </w:pPr>
      <w:r w:rsidRPr="00C152DA">
        <w:rPr>
          <w:rFonts w:cs="Arial"/>
          <w:sz w:val="22"/>
          <w:szCs w:val="22"/>
        </w:rPr>
        <w:t>Regeringen noterar i inrapporteringen av innovationskontorens flödestal, en viss minskning av antalet inkomna idéer från forskare medan antalet från studenter nästan är oförändrat.</w:t>
      </w:r>
    </w:p>
    <w:p w14:paraId="090F228C" w14:textId="77777777" w:rsidR="00C152DA" w:rsidRDefault="00C152DA" w:rsidP="00C152DA">
      <w:pPr>
        <w:spacing w:after="0"/>
        <w:jc w:val="both"/>
        <w:rPr>
          <w:sz w:val="22"/>
          <w:szCs w:val="22"/>
        </w:rPr>
      </w:pPr>
    </w:p>
    <w:p w14:paraId="24AD0172" w14:textId="25B38875" w:rsidR="00C152DA" w:rsidRPr="00C152DA" w:rsidRDefault="00C152DA" w:rsidP="00736590">
      <w:pPr>
        <w:spacing w:after="120"/>
        <w:jc w:val="both"/>
        <w:rPr>
          <w:b/>
          <w:bCs/>
        </w:rPr>
      </w:pPr>
      <w:r w:rsidRPr="00C152DA">
        <w:rPr>
          <w:b/>
          <w:bCs/>
        </w:rPr>
        <w:t>Ökad jämställdhet inom forskningen</w:t>
      </w:r>
    </w:p>
    <w:p w14:paraId="13E550F7" w14:textId="0FB54D64" w:rsidR="00C152DA" w:rsidRPr="00C152DA" w:rsidRDefault="00C152DA" w:rsidP="00736590">
      <w:pPr>
        <w:pStyle w:val="Liststycke"/>
        <w:numPr>
          <w:ilvl w:val="0"/>
          <w:numId w:val="33"/>
        </w:numPr>
        <w:spacing w:after="0"/>
        <w:ind w:left="426"/>
        <w:jc w:val="both"/>
        <w:rPr>
          <w:rFonts w:cs="Arial"/>
          <w:sz w:val="22"/>
          <w:szCs w:val="22"/>
        </w:rPr>
      </w:pPr>
      <w:r w:rsidRPr="00C152DA">
        <w:rPr>
          <w:sz w:val="22"/>
          <w:szCs w:val="22"/>
        </w:rPr>
        <w:t>Sverige ska fortsatt sträva efter att premiera kvalitet genom att tillvarata kompetens oavsett kön. Statskontorets rapport om lärosätenas fördelning av forskningsmedel ur ett jämställdhetsperspektiv visar på utvecklings-potential för detta område.</w:t>
      </w:r>
    </w:p>
    <w:p w14:paraId="4F9A3C96" w14:textId="3979AD5C" w:rsidR="0082360A" w:rsidRPr="00C152DA" w:rsidRDefault="0082360A" w:rsidP="00736590">
      <w:pPr>
        <w:spacing w:after="0"/>
        <w:ind w:left="426" w:hanging="360"/>
        <w:jc w:val="both"/>
        <w:rPr>
          <w:rFonts w:cs="Arial"/>
          <w:sz w:val="22"/>
          <w:szCs w:val="22"/>
        </w:rPr>
      </w:pPr>
    </w:p>
    <w:p w14:paraId="7E747C05" w14:textId="77777777" w:rsidR="00E00B8E" w:rsidRDefault="00E00B8E">
      <w:pPr>
        <w:spacing w:after="0"/>
        <w:rPr>
          <w:rFonts w:cs="Arial"/>
          <w:b/>
        </w:rPr>
      </w:pPr>
      <w:r>
        <w:rPr>
          <w:rFonts w:cs="Arial"/>
          <w:b/>
        </w:rPr>
        <w:br w:type="page"/>
      </w:r>
    </w:p>
    <w:p w14:paraId="15F33880" w14:textId="454B8D31" w:rsidR="00C152DA" w:rsidRPr="00C152DA" w:rsidRDefault="00C152DA" w:rsidP="00736590">
      <w:pPr>
        <w:spacing w:after="120"/>
        <w:jc w:val="both"/>
        <w:rPr>
          <w:rFonts w:cs="Arial"/>
          <w:b/>
        </w:rPr>
      </w:pPr>
      <w:r w:rsidRPr="00C152DA">
        <w:rPr>
          <w:rFonts w:cs="Arial"/>
          <w:b/>
        </w:rPr>
        <w:lastRenderedPageBreak/>
        <w:t>Inrättande av nationellt forskningsprogram om rasism</w:t>
      </w:r>
    </w:p>
    <w:p w14:paraId="3AA38CF9" w14:textId="5EC0C867" w:rsidR="00C152DA" w:rsidRPr="00D37042" w:rsidRDefault="00C152DA" w:rsidP="00736590">
      <w:pPr>
        <w:pStyle w:val="Liststycke"/>
        <w:numPr>
          <w:ilvl w:val="0"/>
          <w:numId w:val="33"/>
        </w:numPr>
        <w:autoSpaceDE w:val="0"/>
        <w:autoSpaceDN w:val="0"/>
        <w:adjustRightInd w:val="0"/>
        <w:spacing w:after="120"/>
        <w:ind w:left="426"/>
        <w:jc w:val="both"/>
        <w:rPr>
          <w:rFonts w:ascii="OrigGarmnd BT" w:hAnsi="OrigGarmnd BT" w:cs="OrigGarmnd BT"/>
          <w:color w:val="000000"/>
          <w:sz w:val="22"/>
          <w:szCs w:val="22"/>
          <w:lang w:eastAsia="sv-SE"/>
        </w:rPr>
      </w:pPr>
      <w:r w:rsidRPr="00C152DA">
        <w:rPr>
          <w:sz w:val="22"/>
          <w:szCs w:val="22"/>
        </w:rPr>
        <w:t>Regeringen avser att ge Vetenskapsrådet i uppdrag att i samråd med Forskningsrådet för hälsa, arbetsliv och välfärd (Forte) utlysa medel för att stärka forskning inom området rasism. Regeringen föreslår att 20 miljoner kronor bör tillföras Vetenskapsrådets forskningsanslag från och med 2016 för ett forskningsprogram om rasism. Satsningen på ett forskningsprogram om rasism som utlyses av Vetenskapsrådet ska ses som ett komplement till att regeringen genom ändring i regleringsbrevet (U2015/01523, 03650/UH) för budgetåret 2015 avseende Göteborgs universitet gett universitetet i uppdrag att sprida kunskap och metoder för att minska rekryteringen av människor till våldsbejakande ideologier och rörelser och till rasistiska organisationer.</w:t>
      </w:r>
      <w:r w:rsidRPr="00C152DA">
        <w:rPr>
          <w:rFonts w:ascii="OrigGarmnd BT" w:hAnsi="OrigGarmnd BT" w:cs="OrigGarmnd BT"/>
          <w:color w:val="000000"/>
          <w:sz w:val="22"/>
          <w:szCs w:val="22"/>
          <w:lang w:eastAsia="sv-SE"/>
        </w:rPr>
        <w:t xml:space="preserve"> </w:t>
      </w:r>
    </w:p>
    <w:p w14:paraId="3E935819" w14:textId="77777777" w:rsidR="00C152DA" w:rsidRPr="00C152DA" w:rsidRDefault="00C152DA" w:rsidP="00C152DA">
      <w:pPr>
        <w:pStyle w:val="Liststycke"/>
        <w:autoSpaceDE w:val="0"/>
        <w:autoSpaceDN w:val="0"/>
        <w:adjustRightInd w:val="0"/>
        <w:spacing w:after="0"/>
        <w:rPr>
          <w:rFonts w:ascii="OrigGarmnd BT" w:hAnsi="OrigGarmnd BT" w:cs="OrigGarmnd BT"/>
          <w:color w:val="000000"/>
          <w:sz w:val="22"/>
          <w:szCs w:val="22"/>
          <w:lang w:eastAsia="sv-SE"/>
        </w:rPr>
      </w:pPr>
    </w:p>
    <w:p w14:paraId="2F63FAD5" w14:textId="248B7814" w:rsidR="00C152DA" w:rsidRPr="00C152DA" w:rsidRDefault="00C152DA" w:rsidP="00736590">
      <w:pPr>
        <w:autoSpaceDE w:val="0"/>
        <w:autoSpaceDN w:val="0"/>
        <w:adjustRightInd w:val="0"/>
        <w:spacing w:after="120"/>
        <w:rPr>
          <w:rFonts w:cs="Arial"/>
          <w:b/>
        </w:rPr>
      </w:pPr>
      <w:r w:rsidRPr="00C152DA">
        <w:rPr>
          <w:rFonts w:cs="Arial"/>
          <w:b/>
        </w:rPr>
        <w:t xml:space="preserve">Forskning för näringsliv och samhälle </w:t>
      </w:r>
    </w:p>
    <w:p w14:paraId="755039D7" w14:textId="77777777" w:rsidR="00C152DA" w:rsidRPr="00736590" w:rsidRDefault="00C152DA" w:rsidP="00736590">
      <w:pPr>
        <w:pStyle w:val="Liststycke"/>
        <w:numPr>
          <w:ilvl w:val="0"/>
          <w:numId w:val="33"/>
        </w:numPr>
        <w:spacing w:after="120"/>
        <w:ind w:left="425" w:hanging="357"/>
        <w:jc w:val="both"/>
        <w:rPr>
          <w:rFonts w:cs="Arial"/>
          <w:b/>
        </w:rPr>
      </w:pPr>
      <w:r w:rsidRPr="00D37042">
        <w:rPr>
          <w:sz w:val="22"/>
          <w:szCs w:val="22"/>
        </w:rPr>
        <w:t xml:space="preserve">Det finns ett antal områden där samhälle och näringsliv har ett långsiktigt behov av tillgång till hög kompetens och där svensk forskning också håller hög kvalitet och kan bidra till att möta samhällsutmaningar. </w:t>
      </w:r>
    </w:p>
    <w:p w14:paraId="3246DC08" w14:textId="77777777" w:rsidR="00736590" w:rsidRPr="00736590" w:rsidRDefault="00736590" w:rsidP="00736590">
      <w:pPr>
        <w:pStyle w:val="Liststycke"/>
        <w:spacing w:after="120"/>
        <w:ind w:left="425"/>
        <w:jc w:val="both"/>
        <w:rPr>
          <w:rFonts w:cs="Arial"/>
          <w:b/>
          <w:sz w:val="16"/>
          <w:szCs w:val="16"/>
        </w:rPr>
      </w:pPr>
    </w:p>
    <w:p w14:paraId="325F1D28" w14:textId="77777777" w:rsidR="00736590" w:rsidRDefault="00C152DA" w:rsidP="00E00B8E">
      <w:pPr>
        <w:pStyle w:val="Liststycke"/>
        <w:numPr>
          <w:ilvl w:val="0"/>
          <w:numId w:val="33"/>
        </w:numPr>
        <w:autoSpaceDE w:val="0"/>
        <w:autoSpaceDN w:val="0"/>
        <w:adjustRightInd w:val="0"/>
        <w:spacing w:after="120"/>
        <w:ind w:left="425" w:hanging="357"/>
        <w:jc w:val="both"/>
        <w:rPr>
          <w:sz w:val="22"/>
          <w:szCs w:val="22"/>
        </w:rPr>
      </w:pPr>
      <w:r w:rsidRPr="00D37042">
        <w:rPr>
          <w:sz w:val="22"/>
          <w:szCs w:val="22"/>
        </w:rPr>
        <w:t>I detta ingår ö</w:t>
      </w:r>
      <w:r w:rsidR="00736590">
        <w:rPr>
          <w:sz w:val="22"/>
          <w:szCs w:val="22"/>
        </w:rPr>
        <w:t>kat anslag till Verket för inno</w:t>
      </w:r>
      <w:r w:rsidRPr="00D37042">
        <w:rPr>
          <w:sz w:val="22"/>
          <w:szCs w:val="22"/>
        </w:rPr>
        <w:t>vationssystem (Vinnova) med 50 miljoner kronor 2016 för riktade satsningar inom, gruv-, mineral- och stålforskning</w:t>
      </w:r>
      <w:r w:rsidR="00736590">
        <w:rPr>
          <w:sz w:val="22"/>
          <w:szCs w:val="22"/>
        </w:rPr>
        <w:t>.</w:t>
      </w:r>
    </w:p>
    <w:p w14:paraId="258A6624" w14:textId="77777777" w:rsidR="00736590" w:rsidRPr="00736590" w:rsidRDefault="00736590" w:rsidP="00736590">
      <w:pPr>
        <w:pStyle w:val="Liststycke"/>
        <w:rPr>
          <w:sz w:val="22"/>
          <w:szCs w:val="22"/>
        </w:rPr>
      </w:pPr>
    </w:p>
    <w:p w14:paraId="65411CDF" w14:textId="25AE341D" w:rsidR="00736590" w:rsidRDefault="00C152DA" w:rsidP="00736590">
      <w:pPr>
        <w:pStyle w:val="Liststycke"/>
        <w:numPr>
          <w:ilvl w:val="0"/>
          <w:numId w:val="33"/>
        </w:numPr>
        <w:spacing w:after="120"/>
        <w:ind w:left="425" w:hanging="357"/>
        <w:jc w:val="both"/>
        <w:rPr>
          <w:sz w:val="22"/>
          <w:szCs w:val="22"/>
        </w:rPr>
      </w:pPr>
      <w:r w:rsidRPr="00D37042">
        <w:rPr>
          <w:sz w:val="22"/>
          <w:szCs w:val="22"/>
        </w:rPr>
        <w:t>Dessutom ökas anslaget för Forskningsrådet för miljö, areella näringar och samhällsbyggande (Formas) med 50 miljoner kronor 2016 för forskning om hållbart samhällsbyggande och med 50 miljoner kronor 2016 för forskning om nyttjande av skogsråvara och biomassa för att bl.a. ersätta fossil råvara till nya biobaserade produkter</w:t>
      </w:r>
      <w:r w:rsidR="008A5A76" w:rsidRPr="00D37042">
        <w:rPr>
          <w:sz w:val="22"/>
          <w:szCs w:val="22"/>
        </w:rPr>
        <w:t xml:space="preserve">. </w:t>
      </w:r>
    </w:p>
    <w:p w14:paraId="778D451C" w14:textId="77777777" w:rsidR="00736590" w:rsidRPr="00736590" w:rsidRDefault="00736590" w:rsidP="00736590">
      <w:pPr>
        <w:pStyle w:val="Liststycke"/>
        <w:rPr>
          <w:sz w:val="20"/>
          <w:szCs w:val="20"/>
        </w:rPr>
      </w:pPr>
    </w:p>
    <w:p w14:paraId="671D5C65" w14:textId="407FF687" w:rsidR="008A5A76" w:rsidRDefault="008A5A76" w:rsidP="00736590">
      <w:pPr>
        <w:pStyle w:val="Liststycke"/>
        <w:numPr>
          <w:ilvl w:val="0"/>
          <w:numId w:val="33"/>
        </w:numPr>
        <w:spacing w:after="120"/>
        <w:ind w:left="426"/>
        <w:jc w:val="both"/>
        <w:rPr>
          <w:sz w:val="22"/>
          <w:szCs w:val="22"/>
        </w:rPr>
      </w:pPr>
      <w:r w:rsidRPr="00D37042">
        <w:rPr>
          <w:sz w:val="22"/>
          <w:szCs w:val="22"/>
        </w:rPr>
        <w:t>I propositionen Forskning och innovation (prop. 2012/13:30) aviserades en satsning på energiforskning med 470 miljoner kronor till Statens energimyndighet 2013–2016, varav 200 miljoner kronor satsas 2016.</w:t>
      </w:r>
    </w:p>
    <w:p w14:paraId="1BF7F9DC" w14:textId="77777777" w:rsidR="00736590" w:rsidRPr="00736590" w:rsidRDefault="00736590" w:rsidP="00736590">
      <w:pPr>
        <w:pStyle w:val="Liststycke"/>
        <w:rPr>
          <w:sz w:val="20"/>
          <w:szCs w:val="20"/>
        </w:rPr>
      </w:pPr>
    </w:p>
    <w:p w14:paraId="082168B2" w14:textId="44BA4A90" w:rsidR="008A5A76" w:rsidRPr="008A5A76" w:rsidRDefault="008A5A76" w:rsidP="00736590">
      <w:pPr>
        <w:pStyle w:val="Liststycke"/>
        <w:numPr>
          <w:ilvl w:val="0"/>
          <w:numId w:val="33"/>
        </w:numPr>
        <w:spacing w:after="120"/>
        <w:ind w:left="426"/>
        <w:jc w:val="both"/>
        <w:rPr>
          <w:sz w:val="22"/>
          <w:szCs w:val="22"/>
        </w:rPr>
      </w:pPr>
      <w:r w:rsidRPr="00D37042">
        <w:rPr>
          <w:sz w:val="22"/>
          <w:szCs w:val="22"/>
        </w:rPr>
        <w:t>Tillgång till och utnyttjande</w:t>
      </w:r>
      <w:r>
        <w:rPr>
          <w:sz w:val="22"/>
          <w:szCs w:val="22"/>
        </w:rPr>
        <w:t xml:space="preserve"> av rymden är en förutsättning för viktiga tjänster inom många samhällssektorer och för observationer av vår planet. En särskild utredare fick 2014 i </w:t>
      </w:r>
      <w:r w:rsidRPr="008A5A76">
        <w:rPr>
          <w:sz w:val="22"/>
          <w:szCs w:val="22"/>
        </w:rPr>
        <w:t>uppdrag att föreslå en sammanhållen nationell strategi för svensk rymdverksamhet (dir. 2014:57), i syfte att utveckla möjligheterna att använda rymd-verksamheten som en strategisk tillgång för att möta samhällets behov och stärka den svenska industrins konkurrenskraft. Betänkandet lämnades den 2 september 2015 och ärendet bereds vidare inom Regeringskansliet.</w:t>
      </w:r>
    </w:p>
    <w:p w14:paraId="08D2CB50" w14:textId="77777777" w:rsidR="008A5A76" w:rsidRPr="008A5A76" w:rsidRDefault="008A5A76" w:rsidP="008A5A76">
      <w:pPr>
        <w:pStyle w:val="Liststycke"/>
        <w:spacing w:after="0"/>
        <w:jc w:val="both"/>
        <w:rPr>
          <w:sz w:val="22"/>
          <w:szCs w:val="22"/>
        </w:rPr>
      </w:pPr>
    </w:p>
    <w:p w14:paraId="53B1704E" w14:textId="0F1C598F" w:rsidR="007B5470" w:rsidRPr="008A5A76" w:rsidRDefault="007B5470" w:rsidP="00736590">
      <w:pPr>
        <w:spacing w:after="120"/>
        <w:jc w:val="both"/>
        <w:rPr>
          <w:rFonts w:cs="Arial"/>
          <w:sz w:val="22"/>
          <w:szCs w:val="22"/>
        </w:rPr>
      </w:pPr>
      <w:r w:rsidRPr="008A5A76">
        <w:rPr>
          <w:rFonts w:cs="Arial"/>
          <w:b/>
        </w:rPr>
        <w:t>Stärkt livsvetenskap</w:t>
      </w:r>
    </w:p>
    <w:p w14:paraId="0CE9074C" w14:textId="43D51FC9" w:rsidR="007B5470" w:rsidRPr="008A5A76" w:rsidRDefault="008A5A76" w:rsidP="00736590">
      <w:pPr>
        <w:numPr>
          <w:ilvl w:val="0"/>
          <w:numId w:val="10"/>
        </w:numPr>
        <w:spacing w:after="120"/>
        <w:ind w:left="426" w:hanging="426"/>
        <w:jc w:val="both"/>
        <w:rPr>
          <w:rFonts w:cs="Arial"/>
          <w:sz w:val="22"/>
          <w:szCs w:val="22"/>
        </w:rPr>
      </w:pPr>
      <w:r w:rsidRPr="008A5A76">
        <w:rPr>
          <w:sz w:val="22"/>
          <w:szCs w:val="22"/>
        </w:rPr>
        <w:t>Sektorn för livsvetenskap är av stor betydelse för Sveriges ekonomi, för näringslivets utveckling, forskningen och för människors hälsa, både i Sverige och globalt. För att bidra till bättre hälsa, till att möta samhällsutmaningar och för att öka Sveriges konkurrenskraft i ett internationellt perspektiv behöver konkreta insatser vidtas.</w:t>
      </w:r>
    </w:p>
    <w:p w14:paraId="56FBDC41" w14:textId="18D37BAB" w:rsidR="00261D78" w:rsidRPr="0067407A" w:rsidRDefault="00D514F3" w:rsidP="00736590">
      <w:pPr>
        <w:numPr>
          <w:ilvl w:val="0"/>
          <w:numId w:val="10"/>
        </w:numPr>
        <w:spacing w:after="120"/>
        <w:ind w:left="426" w:hanging="426"/>
        <w:jc w:val="both"/>
        <w:rPr>
          <w:sz w:val="22"/>
          <w:szCs w:val="22"/>
        </w:rPr>
      </w:pPr>
      <w:r>
        <w:rPr>
          <w:sz w:val="22"/>
          <w:szCs w:val="22"/>
        </w:rPr>
        <w:t>Som ett led i regeringens prioriteri</w:t>
      </w:r>
      <w:r w:rsidR="00A65C1C">
        <w:rPr>
          <w:sz w:val="22"/>
          <w:szCs w:val="22"/>
        </w:rPr>
        <w:t>ng av livs</w:t>
      </w:r>
      <w:r w:rsidRPr="0067407A">
        <w:rPr>
          <w:sz w:val="22"/>
          <w:szCs w:val="22"/>
        </w:rPr>
        <w:t>vetenskap och för att ytterligare stärka området tillsatte regeringen under 2015 en särskild samordnare.</w:t>
      </w:r>
    </w:p>
    <w:p w14:paraId="4EAA5C97" w14:textId="65F77607" w:rsidR="00D514F3" w:rsidRPr="00D514F3" w:rsidRDefault="00D514F3" w:rsidP="00736590">
      <w:pPr>
        <w:pStyle w:val="Default"/>
        <w:numPr>
          <w:ilvl w:val="0"/>
          <w:numId w:val="10"/>
        </w:numPr>
        <w:spacing w:after="120"/>
        <w:ind w:left="426"/>
        <w:jc w:val="both"/>
        <w:rPr>
          <w:rFonts w:ascii="Georgia" w:eastAsia="Cambria" w:hAnsi="Georgia" w:cs="Times New Roman"/>
          <w:color w:val="auto"/>
          <w:sz w:val="22"/>
          <w:szCs w:val="22"/>
          <w:lang w:eastAsia="en-US"/>
        </w:rPr>
      </w:pPr>
      <w:r w:rsidRPr="00D514F3">
        <w:rPr>
          <w:rFonts w:ascii="Georgia" w:eastAsia="Cambria" w:hAnsi="Georgia" w:cs="Times New Roman"/>
          <w:color w:val="auto"/>
          <w:sz w:val="22"/>
          <w:szCs w:val="22"/>
          <w:lang w:eastAsia="en-US"/>
        </w:rPr>
        <w:t>För att överbrygga gapet mellan grundforskning och kommersialisering av forskningsresultat inom livsvetensk</w:t>
      </w:r>
      <w:r w:rsidR="0067407A">
        <w:rPr>
          <w:rFonts w:ascii="Georgia" w:eastAsia="Cambria" w:hAnsi="Georgia" w:cs="Times New Roman"/>
          <w:color w:val="auto"/>
          <w:sz w:val="22"/>
          <w:szCs w:val="22"/>
          <w:lang w:eastAsia="en-US"/>
        </w:rPr>
        <w:t>ap vill regeringen stödja forsk</w:t>
      </w:r>
      <w:r w:rsidRPr="00D514F3">
        <w:rPr>
          <w:rFonts w:ascii="Georgia" w:eastAsia="Cambria" w:hAnsi="Georgia" w:cs="Times New Roman"/>
          <w:color w:val="auto"/>
          <w:sz w:val="22"/>
          <w:szCs w:val="22"/>
          <w:lang w:eastAsia="en-US"/>
        </w:rPr>
        <w:t xml:space="preserve">nings- och utvecklingsprojekt så att dessa inte kommersialiseras i förtid och som följd av detta inte </w:t>
      </w:r>
      <w:r w:rsidRPr="00D514F3">
        <w:rPr>
          <w:rFonts w:ascii="Georgia" w:eastAsia="Cambria" w:hAnsi="Georgia" w:cs="Times New Roman"/>
          <w:color w:val="auto"/>
          <w:sz w:val="22"/>
          <w:szCs w:val="22"/>
          <w:lang w:eastAsia="en-US"/>
        </w:rPr>
        <w:lastRenderedPageBreak/>
        <w:t xml:space="preserve">får en långsiktig finansiering. utvecklingen av en behandlingsmetod eller en produkt där en metods eller en produkts lämplighet och använd-barhet verifieras. </w:t>
      </w:r>
      <w:r w:rsidRPr="00D514F3">
        <w:rPr>
          <w:rFonts w:ascii="Georgia" w:hAnsi="Georgia" w:cs="Times New Roman"/>
          <w:color w:val="auto"/>
          <w:sz w:val="22"/>
          <w:szCs w:val="22"/>
          <w:lang w:eastAsia="en-US"/>
        </w:rPr>
        <w:t xml:space="preserve">Denna satsning kompletterar den satsning på infrastruktur och service inom det nationella centret för livsvetenskaplig forskning (SciLife-Lab) som har genomförts enligt vad som presenterades i propositionen </w:t>
      </w:r>
      <w:r w:rsidR="00736590">
        <w:rPr>
          <w:rFonts w:ascii="Georgia" w:hAnsi="Georgia" w:cs="Times New Roman"/>
          <w:color w:val="auto"/>
          <w:sz w:val="22"/>
          <w:szCs w:val="22"/>
          <w:lang w:eastAsia="en-US"/>
        </w:rPr>
        <w:t>Forskning- och inno</w:t>
      </w:r>
      <w:r w:rsidRPr="00D514F3">
        <w:rPr>
          <w:rFonts w:ascii="Georgia" w:hAnsi="Georgia" w:cs="Times New Roman"/>
          <w:color w:val="auto"/>
          <w:sz w:val="22"/>
          <w:szCs w:val="22"/>
          <w:lang w:eastAsia="en-US"/>
        </w:rPr>
        <w:t xml:space="preserve">vation (prop. 2012/13:30). </w:t>
      </w:r>
      <w:r w:rsidRPr="00D514F3">
        <w:rPr>
          <w:rFonts w:ascii="Georgia" w:eastAsia="Cambria" w:hAnsi="Georgia" w:cs="Times New Roman"/>
          <w:color w:val="auto"/>
          <w:sz w:val="22"/>
          <w:szCs w:val="22"/>
          <w:lang w:eastAsia="en-US"/>
        </w:rPr>
        <w:t xml:space="preserve">Regeringen föreslår att 18 miljoner kronor tillförs Vetenskapsrådets forskningsanslag 2016 för detta ändamål. För 2017–2018 beräknas 14 miljoner kronor per år anvisas. </w:t>
      </w:r>
    </w:p>
    <w:p w14:paraId="188C508B" w14:textId="6177CCC6" w:rsidR="005B20A2" w:rsidRPr="005B20A2" w:rsidRDefault="00D514F3" w:rsidP="00736590">
      <w:pPr>
        <w:pStyle w:val="Default"/>
        <w:numPr>
          <w:ilvl w:val="0"/>
          <w:numId w:val="10"/>
        </w:numPr>
        <w:spacing w:after="120"/>
        <w:ind w:left="426"/>
        <w:jc w:val="both"/>
        <w:rPr>
          <w:rFonts w:ascii="Georgia" w:hAnsi="Georgia" w:cs="Times New Roman"/>
          <w:color w:val="auto"/>
          <w:sz w:val="22"/>
          <w:szCs w:val="22"/>
          <w:lang w:eastAsia="en-US"/>
        </w:rPr>
      </w:pPr>
      <w:r w:rsidRPr="005B20A2">
        <w:rPr>
          <w:rFonts w:ascii="Georgia" w:hAnsi="Georgia" w:cs="Times New Roman"/>
          <w:color w:val="auto"/>
          <w:sz w:val="22"/>
          <w:szCs w:val="22"/>
          <w:lang w:eastAsia="en-US"/>
        </w:rPr>
        <w:t xml:space="preserve">För att överbrygga gapet mellan grundforskning och kommersialisering av forskningsresultat vill regeringen också etablera fördjupad kommersiell verifiering inom området för livsvetenskap, s.k. förinkubation, vid vissa innovationskontor. Regeringen föreslår därför att ett begränsat antal innovationskontor får i uppdrag att etablera för-inkubatorer som kan stödja idéer inom området för livsvetenskap med fördjupad kommersiell verifiering. Regeringen föreslår att 12 miljoner kronor satsas 2016 för ändamålet förinkubatorer. För 2017–2018 beräknas 6 miljoner kronor per år anvisas. </w:t>
      </w:r>
      <w:r w:rsidR="00261D78" w:rsidRPr="005B20A2">
        <w:rPr>
          <w:rFonts w:ascii="Georgia" w:hAnsi="Georgia" w:cs="Times New Roman"/>
          <w:color w:val="auto"/>
          <w:sz w:val="22"/>
          <w:szCs w:val="22"/>
          <w:lang w:eastAsia="en-US"/>
        </w:rPr>
        <w:t>Ett nytt avtal om samarbete om utbildning av läkare</w:t>
      </w:r>
      <w:r w:rsidR="005B20A2" w:rsidRPr="005B20A2">
        <w:rPr>
          <w:rFonts w:ascii="Georgia" w:hAnsi="Georgia" w:cs="Times New Roman"/>
          <w:color w:val="auto"/>
          <w:sz w:val="22"/>
          <w:szCs w:val="22"/>
          <w:lang w:eastAsia="en-US"/>
        </w:rPr>
        <w:t>.</w:t>
      </w:r>
    </w:p>
    <w:p w14:paraId="18D41C1F" w14:textId="12E7B480" w:rsidR="005B20A2" w:rsidRPr="005B20A2" w:rsidRDefault="005B20A2" w:rsidP="00736590">
      <w:pPr>
        <w:pStyle w:val="Default"/>
        <w:numPr>
          <w:ilvl w:val="0"/>
          <w:numId w:val="10"/>
        </w:numPr>
        <w:ind w:left="426"/>
        <w:jc w:val="both"/>
        <w:rPr>
          <w:rFonts w:ascii="Georgia" w:hAnsi="Georgia" w:cs="Times New Roman"/>
          <w:color w:val="auto"/>
          <w:sz w:val="22"/>
          <w:szCs w:val="22"/>
          <w:lang w:eastAsia="en-US"/>
        </w:rPr>
      </w:pPr>
      <w:r w:rsidRPr="005B20A2">
        <w:rPr>
          <w:rFonts w:ascii="Georgia" w:hAnsi="Georgia" w:cs="Times New Roman"/>
          <w:color w:val="auto"/>
          <w:sz w:val="22"/>
          <w:szCs w:val="22"/>
          <w:lang w:eastAsia="en-US"/>
        </w:rPr>
        <w:t xml:space="preserve">Science for Life Laboratory (SciLifeLab) är ett nationellt forskningscentrum för storskalig molekylär biovetenskaplig forskning med fokus på genomik, avbildning, proteomik och bioinformatik som gemensamt drivs av Kungl. Tekniska högskolan, Stockholms universitet, Karolinska institutet och Uppsala universitet. </w:t>
      </w:r>
    </w:p>
    <w:p w14:paraId="4224DA0A" w14:textId="77777777" w:rsidR="005B20A2" w:rsidRPr="0067407A" w:rsidRDefault="005B20A2" w:rsidP="00736590">
      <w:pPr>
        <w:pStyle w:val="Default"/>
        <w:numPr>
          <w:ilvl w:val="0"/>
          <w:numId w:val="10"/>
        </w:numPr>
        <w:spacing w:after="120"/>
        <w:ind w:left="425" w:hanging="425"/>
        <w:jc w:val="both"/>
        <w:rPr>
          <w:rFonts w:ascii="Georgia" w:eastAsia="Cambria" w:hAnsi="Georgia" w:cs="Times New Roman"/>
          <w:color w:val="auto"/>
          <w:sz w:val="22"/>
          <w:szCs w:val="22"/>
          <w:lang w:eastAsia="en-US"/>
        </w:rPr>
      </w:pPr>
      <w:r w:rsidRPr="005B20A2">
        <w:rPr>
          <w:rFonts w:ascii="Georgia" w:eastAsia="Cambria" w:hAnsi="Georgia" w:cs="Times New Roman"/>
          <w:color w:val="auto"/>
          <w:sz w:val="22"/>
          <w:szCs w:val="22"/>
          <w:lang w:eastAsia="en-US"/>
        </w:rPr>
        <w:t xml:space="preserve">I propositionen Forskning och innovation (prop. 2012/13:30) presenterades en satsning på SciLifeLab på totalt 200 miljoner kronor under perioden 2013–2016. Regeringen föreslår därmed en ökning för detta ändamål med 50 miljoner kronor 2016. </w:t>
      </w:r>
    </w:p>
    <w:p w14:paraId="79B96894" w14:textId="1ACD77B2" w:rsidR="00261D78" w:rsidRPr="0067407A" w:rsidRDefault="00261D78" w:rsidP="00736590">
      <w:pPr>
        <w:pStyle w:val="Default"/>
        <w:numPr>
          <w:ilvl w:val="0"/>
          <w:numId w:val="10"/>
        </w:numPr>
        <w:spacing w:after="120"/>
        <w:ind w:left="425" w:hanging="425"/>
        <w:jc w:val="both"/>
        <w:rPr>
          <w:rFonts w:ascii="Georgia" w:eastAsia="Cambria" w:hAnsi="Georgia" w:cs="Times New Roman"/>
          <w:color w:val="auto"/>
          <w:sz w:val="22"/>
          <w:szCs w:val="22"/>
          <w:lang w:eastAsia="en-US"/>
        </w:rPr>
      </w:pPr>
      <w:r w:rsidRPr="005B20A2">
        <w:rPr>
          <w:rFonts w:ascii="Georgia" w:eastAsia="Cambria" w:hAnsi="Georgia" w:cs="Times New Roman"/>
          <w:color w:val="auto"/>
          <w:sz w:val="22"/>
          <w:szCs w:val="22"/>
          <w:lang w:eastAsia="en-US"/>
        </w:rPr>
        <w:t>Klinisk forskning</w:t>
      </w:r>
      <w:r w:rsidRPr="0067407A">
        <w:rPr>
          <w:rFonts w:ascii="Georgia" w:eastAsia="Cambria" w:hAnsi="Georgia" w:cs="Times New Roman"/>
          <w:color w:val="auto"/>
          <w:sz w:val="22"/>
          <w:szCs w:val="22"/>
          <w:lang w:eastAsia="en-US"/>
        </w:rPr>
        <w:t xml:space="preserve"> är viktigt för utvecklingen av hälso- och sjukvården och för att Sverige ska vara attraktivt för näringslivet inom branschen. Vetenskapsrådet har</w:t>
      </w:r>
      <w:r w:rsidR="00421144" w:rsidRPr="0067407A">
        <w:rPr>
          <w:rFonts w:ascii="Georgia" w:eastAsia="Cambria" w:hAnsi="Georgia" w:cs="Times New Roman"/>
          <w:color w:val="auto"/>
          <w:sz w:val="22"/>
          <w:szCs w:val="22"/>
          <w:lang w:eastAsia="en-US"/>
        </w:rPr>
        <w:t xml:space="preserve"> </w:t>
      </w:r>
      <w:r w:rsidRPr="0067407A">
        <w:rPr>
          <w:rFonts w:ascii="Georgia" w:eastAsia="Cambria" w:hAnsi="Georgia" w:cs="Times New Roman"/>
          <w:color w:val="auto"/>
          <w:sz w:val="22"/>
          <w:szCs w:val="22"/>
          <w:lang w:eastAsia="en-US"/>
        </w:rPr>
        <w:t>därför fått i uppdrag att inrätta en kommitté för nationell samordning av kliniska studier.</w:t>
      </w:r>
    </w:p>
    <w:p w14:paraId="1AE7CEC2" w14:textId="303CFED3" w:rsidR="00A00443" w:rsidRPr="005B20A2" w:rsidRDefault="00A00443" w:rsidP="00736590">
      <w:pPr>
        <w:numPr>
          <w:ilvl w:val="0"/>
          <w:numId w:val="10"/>
        </w:numPr>
        <w:spacing w:after="0"/>
        <w:ind w:left="425" w:hanging="425"/>
        <w:jc w:val="both"/>
        <w:rPr>
          <w:rFonts w:cs="Arial"/>
          <w:sz w:val="22"/>
          <w:szCs w:val="22"/>
        </w:rPr>
      </w:pPr>
      <w:r w:rsidRPr="005B20A2">
        <w:rPr>
          <w:rFonts w:cs="Arial"/>
          <w:sz w:val="22"/>
          <w:szCs w:val="22"/>
        </w:rPr>
        <w:t>Vetenskapsrådet har fått i uppdrag (U2012/7074/F) att inrätta ett program för stöd</w:t>
      </w:r>
      <w:r w:rsidR="00421144" w:rsidRPr="005B20A2">
        <w:rPr>
          <w:rFonts w:cs="Arial"/>
          <w:sz w:val="22"/>
          <w:szCs w:val="22"/>
        </w:rPr>
        <w:t xml:space="preserve"> </w:t>
      </w:r>
      <w:r w:rsidRPr="005B20A2">
        <w:rPr>
          <w:rFonts w:cs="Arial"/>
          <w:sz w:val="22"/>
          <w:szCs w:val="22"/>
        </w:rPr>
        <w:t>av klinisk behandlingsforskning motiverad av hälso- och sjukvårdens behov för att kunna ge patienter effektiv och säker behandling och underlätta samverkan mellan flera aktörer.</w:t>
      </w:r>
    </w:p>
    <w:p w14:paraId="0E2632DC" w14:textId="77777777" w:rsidR="00F01082" w:rsidRPr="00D75974" w:rsidRDefault="00F01082" w:rsidP="00736590">
      <w:pPr>
        <w:spacing w:after="0"/>
        <w:ind w:left="426" w:hanging="426"/>
        <w:jc w:val="both"/>
        <w:rPr>
          <w:rFonts w:cs="Arial"/>
          <w:b/>
          <w:highlight w:val="yellow"/>
        </w:rPr>
      </w:pPr>
    </w:p>
    <w:p w14:paraId="2B2FC76F" w14:textId="77777777" w:rsidR="005B20A2" w:rsidRDefault="005B20A2" w:rsidP="00736590">
      <w:pPr>
        <w:spacing w:after="120"/>
        <w:jc w:val="both"/>
        <w:rPr>
          <w:b/>
          <w:bCs/>
        </w:rPr>
      </w:pPr>
      <w:r w:rsidRPr="005B20A2">
        <w:rPr>
          <w:b/>
          <w:bCs/>
        </w:rPr>
        <w:t xml:space="preserve">Forskningsinfrastruktur </w:t>
      </w:r>
    </w:p>
    <w:p w14:paraId="5B85E10C" w14:textId="43495875" w:rsidR="005B20A2" w:rsidRPr="00D37042" w:rsidRDefault="005B20A2" w:rsidP="00736590">
      <w:pPr>
        <w:numPr>
          <w:ilvl w:val="0"/>
          <w:numId w:val="10"/>
        </w:numPr>
        <w:spacing w:after="120"/>
        <w:ind w:left="425" w:hanging="425"/>
        <w:jc w:val="both"/>
        <w:rPr>
          <w:sz w:val="22"/>
          <w:szCs w:val="22"/>
        </w:rPr>
      </w:pPr>
      <w:r w:rsidRPr="003B3719">
        <w:rPr>
          <w:sz w:val="22"/>
          <w:szCs w:val="22"/>
        </w:rPr>
        <w:t xml:space="preserve">Storskalig infrastruktur för forskning är i regel alltför kostsam att konstruera och driva för enskilda lärosäten och ibland även för enskilda länder. Flera stora projekt har påbörjats </w:t>
      </w:r>
      <w:r w:rsidRPr="00D37042">
        <w:rPr>
          <w:sz w:val="22"/>
          <w:szCs w:val="22"/>
        </w:rPr>
        <w:t xml:space="preserve">och speciellt fokus bör ligga på att dessa färdigställs. </w:t>
      </w:r>
      <w:r w:rsidRPr="00D37042">
        <w:rPr>
          <w:rFonts w:cs="Arial"/>
          <w:sz w:val="22"/>
          <w:szCs w:val="22"/>
        </w:rPr>
        <w:t>I propositionen Forskning och innovation (prop. 2012/13:30) presenterades satsningar inom området infrastruktur för perioden 2013–2016 på sammantaget 300 miljoner kronor.</w:t>
      </w:r>
    </w:p>
    <w:p w14:paraId="7BDBF0B8" w14:textId="097F8179" w:rsidR="005B20A2" w:rsidRPr="00D37042" w:rsidRDefault="003B3719" w:rsidP="00736590">
      <w:pPr>
        <w:numPr>
          <w:ilvl w:val="0"/>
          <w:numId w:val="10"/>
        </w:numPr>
        <w:spacing w:after="120"/>
        <w:ind w:left="425" w:hanging="425"/>
        <w:jc w:val="both"/>
        <w:rPr>
          <w:rFonts w:cs="Arial"/>
          <w:sz w:val="22"/>
          <w:szCs w:val="22"/>
        </w:rPr>
      </w:pPr>
      <w:r w:rsidRPr="00D37042">
        <w:rPr>
          <w:sz w:val="22"/>
          <w:szCs w:val="22"/>
        </w:rPr>
        <w:t xml:space="preserve">European Spallation Source (ESS) byggs för närvarande i Lund. ESS är en s.k. spallationskälla för neutronstrålning och är en av de största satsningarna på forskningsinfrastruktur som har skett i Europa under de senaste decennierna. Enligt vad som presenterades i de två senaste forskningspropositionerna (prop. 2008/09:50, bet. 2008/09:UbU4, rskr. 2008/09:160) och (prop. 2012/13:30, bet. 2012/13:UbU3, rskr. 2012/13:151) anvisades Vetenskapsrådet 150 miljoner kronor per år i budgetpropositionen för 2010 och ytterligare 200 miljoner kronor per år anvisades från och med 2015 för konstruktionen av ESS. Vidare anvisades ytterligare 70 miljoner kronor från regeringens förfogande till Vetenskapsrådet från och med 2015. Dessutom avsattes 40 miljoner kronor från Vetenskapsrådets anslag. </w:t>
      </w:r>
    </w:p>
    <w:p w14:paraId="367A1153" w14:textId="49A3BD1F" w:rsidR="00F01082" w:rsidRPr="00D37042" w:rsidRDefault="003B3719" w:rsidP="00736590">
      <w:pPr>
        <w:numPr>
          <w:ilvl w:val="0"/>
          <w:numId w:val="10"/>
        </w:numPr>
        <w:spacing w:after="120"/>
        <w:ind w:left="425" w:hanging="425"/>
        <w:jc w:val="both"/>
        <w:rPr>
          <w:rFonts w:cs="Arial"/>
          <w:b/>
        </w:rPr>
      </w:pPr>
      <w:r w:rsidRPr="00D37042">
        <w:rPr>
          <w:sz w:val="22"/>
          <w:szCs w:val="22"/>
        </w:rPr>
        <w:lastRenderedPageBreak/>
        <w:t xml:space="preserve">Röntgenljuskällan MAX IV är på väg att färdigställas i Lund. I propositionen Forskning och innovation (prop. 2012/13:30) bedömdes att anslagsnivån till Vetenskapsrådet för konstruktionen av MAX IV bör öka med totalt 50 miljoner kronor under perioden 2014–2016. Regeringen föreslår utifrån detta att Vetenskapsrådets forskningsanslag bör öka med 20 miljoner kronor 2016 för konstruktionen av MAX IV-laboratoriet. </w:t>
      </w:r>
    </w:p>
    <w:p w14:paraId="06159A05" w14:textId="0E506CD8" w:rsidR="003B3719" w:rsidRDefault="003B3719" w:rsidP="00E00B8E">
      <w:pPr>
        <w:pStyle w:val="Default"/>
        <w:numPr>
          <w:ilvl w:val="0"/>
          <w:numId w:val="10"/>
        </w:numPr>
        <w:ind w:left="426"/>
        <w:jc w:val="both"/>
        <w:rPr>
          <w:rFonts w:ascii="Georgia" w:eastAsia="Cambria" w:hAnsi="Georgia" w:cs="Times New Roman"/>
          <w:color w:val="auto"/>
          <w:sz w:val="22"/>
          <w:szCs w:val="22"/>
          <w:lang w:eastAsia="en-US"/>
        </w:rPr>
      </w:pPr>
      <w:r w:rsidRPr="003B3719">
        <w:rPr>
          <w:rFonts w:ascii="Georgia" w:eastAsia="Cambria" w:hAnsi="Georgia" w:cs="Times New Roman"/>
          <w:color w:val="auto"/>
          <w:sz w:val="22"/>
          <w:szCs w:val="22"/>
          <w:lang w:eastAsia="en-US"/>
        </w:rPr>
        <w:t xml:space="preserve">Sverige har genom tillgången till insamlade uppgifter för stora befolkningsgrupper i olika register och databaser unika möjligheter att undersöka viktiga och komplicerade samband mellan samhällsförhållanden, ekonomi, arbetsmarknad, hälso- och sjukvård. En särskild utredare fick i början av 2013 i uppdrag att undersöka förutsättningarna för utlämnande av registeruppgifter och sambearbetning av dem för forskningsändamål på ett inte-gritetssäkert sätt och att lämna </w:t>
      </w:r>
      <w:r w:rsidR="00A65C1C">
        <w:rPr>
          <w:rFonts w:ascii="Georgia" w:eastAsia="Cambria" w:hAnsi="Georgia" w:cs="Times New Roman"/>
          <w:color w:val="auto"/>
          <w:sz w:val="22"/>
          <w:szCs w:val="22"/>
          <w:lang w:eastAsia="en-US"/>
        </w:rPr>
        <w:t>författningsför</w:t>
      </w:r>
      <w:r w:rsidRPr="00D37042">
        <w:rPr>
          <w:rFonts w:ascii="Georgia" w:eastAsia="Cambria" w:hAnsi="Georgia" w:cs="Times New Roman"/>
          <w:color w:val="auto"/>
          <w:sz w:val="22"/>
          <w:szCs w:val="22"/>
          <w:lang w:eastAsia="en-US"/>
        </w:rPr>
        <w:t xml:space="preserve">slag (dir. 2013:8. Uppdraget redovisades den 25 juni 2014 i betänkandet Unik kunskap genom registerforskning (SOU 2014:45) och har därefter remitterats. Ärendet bereds vidare inom Regeringskansliet. Innovationskontoren är ett verktyg för universitet och högskolor i deras arbete med att verka för nyttiggörande av forskningsbaserad kunskap. </w:t>
      </w:r>
    </w:p>
    <w:p w14:paraId="54D10B9C" w14:textId="77777777" w:rsidR="00D37042" w:rsidRPr="00D37042" w:rsidRDefault="00D37042" w:rsidP="00D37042">
      <w:pPr>
        <w:pStyle w:val="Default"/>
        <w:ind w:left="927"/>
        <w:rPr>
          <w:rFonts w:ascii="Georgia" w:eastAsia="Cambria" w:hAnsi="Georgia" w:cs="Times New Roman"/>
          <w:color w:val="auto"/>
          <w:sz w:val="22"/>
          <w:szCs w:val="22"/>
          <w:lang w:eastAsia="en-US"/>
        </w:rPr>
      </w:pPr>
    </w:p>
    <w:p w14:paraId="03F760F7" w14:textId="30FB0175" w:rsidR="00F01082" w:rsidRPr="00D37042" w:rsidRDefault="00F01082" w:rsidP="00E00B8E">
      <w:pPr>
        <w:spacing w:after="120"/>
        <w:ind w:left="426" w:hanging="426"/>
        <w:jc w:val="both"/>
        <w:rPr>
          <w:rFonts w:cs="Arial"/>
          <w:b/>
        </w:rPr>
      </w:pPr>
      <w:r w:rsidRPr="00D37042">
        <w:rPr>
          <w:rFonts w:cs="Arial"/>
          <w:b/>
        </w:rPr>
        <w:t>Nyttiggörande av forskning</w:t>
      </w:r>
    </w:p>
    <w:p w14:paraId="0B5B5B9A" w14:textId="2F7B25CC" w:rsidR="003B3719" w:rsidRPr="003B3719" w:rsidRDefault="003B3719" w:rsidP="00E00B8E">
      <w:pPr>
        <w:numPr>
          <w:ilvl w:val="0"/>
          <w:numId w:val="29"/>
        </w:numPr>
        <w:spacing w:after="120"/>
        <w:ind w:left="426"/>
        <w:jc w:val="both"/>
        <w:rPr>
          <w:sz w:val="22"/>
          <w:szCs w:val="22"/>
        </w:rPr>
      </w:pPr>
      <w:r w:rsidRPr="00D37042">
        <w:rPr>
          <w:sz w:val="22"/>
          <w:szCs w:val="22"/>
        </w:rPr>
        <w:t>Innovationskontoren är ett verktyg för universitet och högskolor i deras arbete med att verka för nyttiggörande av forskningsbaserad</w:t>
      </w:r>
      <w:r>
        <w:rPr>
          <w:sz w:val="22"/>
          <w:szCs w:val="22"/>
        </w:rPr>
        <w:t xml:space="preserve"> kunskap. </w:t>
      </w:r>
      <w:r w:rsidRPr="003B3719">
        <w:rPr>
          <w:sz w:val="22"/>
          <w:szCs w:val="22"/>
        </w:rPr>
        <w:t>För att stärka sektorn för livsvetenskap föreslår regeringen</w:t>
      </w:r>
      <w:r w:rsidR="00E00B8E">
        <w:rPr>
          <w:sz w:val="22"/>
          <w:szCs w:val="22"/>
        </w:rPr>
        <w:t xml:space="preserve"> att ett begränsat antal innova</w:t>
      </w:r>
      <w:r w:rsidRPr="003B3719">
        <w:rPr>
          <w:sz w:val="22"/>
          <w:szCs w:val="22"/>
        </w:rPr>
        <w:t>tionskontor får i uppdrag att etablera förink</w:t>
      </w:r>
      <w:r>
        <w:rPr>
          <w:sz w:val="22"/>
          <w:szCs w:val="22"/>
        </w:rPr>
        <w:t>uba</w:t>
      </w:r>
      <w:r w:rsidRPr="003B3719">
        <w:rPr>
          <w:sz w:val="22"/>
          <w:szCs w:val="22"/>
        </w:rPr>
        <w:t>torer som kan stödja idéer inom området med fördjupad kommersiell verifiering</w:t>
      </w:r>
    </w:p>
    <w:p w14:paraId="77465F62" w14:textId="1AB420CF" w:rsidR="00EF7734" w:rsidRPr="00421144" w:rsidRDefault="00EF7734" w:rsidP="00421144">
      <w:pPr>
        <w:pStyle w:val="Liststycke"/>
        <w:numPr>
          <w:ilvl w:val="0"/>
          <w:numId w:val="29"/>
        </w:numPr>
        <w:spacing w:after="0"/>
        <w:ind w:left="426" w:hanging="426"/>
        <w:jc w:val="both"/>
        <w:rPr>
          <w:rFonts w:cs="Arial"/>
          <w:sz w:val="22"/>
          <w:szCs w:val="22"/>
        </w:rPr>
      </w:pPr>
      <w:r w:rsidRPr="00421144">
        <w:rPr>
          <w:rFonts w:cs="Arial"/>
          <w:b/>
          <w:sz w:val="36"/>
          <w:szCs w:val="36"/>
        </w:rPr>
        <w:br w:type="page"/>
      </w:r>
    </w:p>
    <w:p w14:paraId="639DF6F5" w14:textId="77777777" w:rsidR="003B3719" w:rsidRPr="0052684E" w:rsidRDefault="003B3719" w:rsidP="00E00B8E">
      <w:pPr>
        <w:spacing w:after="0"/>
        <w:rPr>
          <w:rFonts w:cs="Arial"/>
          <w:b/>
          <w:sz w:val="36"/>
          <w:szCs w:val="36"/>
        </w:rPr>
      </w:pPr>
      <w:r w:rsidRPr="0052684E">
        <w:rPr>
          <w:rFonts w:cs="Arial"/>
          <w:b/>
          <w:sz w:val="36"/>
          <w:szCs w:val="36"/>
        </w:rPr>
        <w:lastRenderedPageBreak/>
        <w:t xml:space="preserve">Grundutbildning ekonomi, hela propositionen </w:t>
      </w:r>
      <w:r w:rsidRPr="0052684E">
        <w:rPr>
          <w:rFonts w:cs="Arial"/>
          <w:b/>
          <w:sz w:val="28"/>
          <w:szCs w:val="28"/>
        </w:rPr>
        <w:t>(</w:t>
      </w:r>
      <w:r w:rsidRPr="0052684E">
        <w:rPr>
          <w:rFonts w:cs="Arial"/>
          <w:b/>
          <w:i/>
          <w:sz w:val="28"/>
          <w:szCs w:val="28"/>
        </w:rPr>
        <w:t>mnkr</w:t>
      </w:r>
      <w:r w:rsidRPr="0052684E">
        <w:rPr>
          <w:rFonts w:cs="Arial"/>
          <w:b/>
          <w:sz w:val="28"/>
          <w:szCs w:val="28"/>
        </w:rPr>
        <w:t>)</w:t>
      </w:r>
    </w:p>
    <w:p w14:paraId="3E180BEA" w14:textId="77777777" w:rsidR="003B3719" w:rsidRPr="0052684E" w:rsidRDefault="003B3719" w:rsidP="003B3719">
      <w:pPr>
        <w:spacing w:after="0"/>
        <w:jc w:val="both"/>
        <w:rPr>
          <w:rFonts w:cs="Arial"/>
          <w:b/>
        </w:rPr>
      </w:pPr>
    </w:p>
    <w:p w14:paraId="3B8DF3F6" w14:textId="77777777" w:rsidR="003B3719" w:rsidRDefault="003B3719" w:rsidP="003B3719">
      <w:pPr>
        <w:spacing w:after="0"/>
        <w:jc w:val="both"/>
        <w:rPr>
          <w:rFonts w:cs="Arial"/>
          <w:sz w:val="22"/>
          <w:szCs w:val="22"/>
        </w:rPr>
      </w:pPr>
      <w:r w:rsidRPr="00EE07FC">
        <w:rPr>
          <w:rFonts w:cs="Arial"/>
          <w:sz w:val="22"/>
          <w:szCs w:val="22"/>
        </w:rPr>
        <w:t>Samtliga belopp i tabeller</w:t>
      </w:r>
      <w:r>
        <w:rPr>
          <w:rFonts w:cs="Arial"/>
          <w:sz w:val="22"/>
          <w:szCs w:val="22"/>
        </w:rPr>
        <w:t>na nedan</w:t>
      </w:r>
      <w:r w:rsidRPr="00EE07FC">
        <w:rPr>
          <w:rFonts w:cs="Arial"/>
          <w:sz w:val="22"/>
          <w:szCs w:val="22"/>
        </w:rPr>
        <w:t xml:space="preserve"> är i jämförelse med år 201</w:t>
      </w:r>
      <w:r>
        <w:rPr>
          <w:rFonts w:cs="Arial"/>
          <w:sz w:val="22"/>
          <w:szCs w:val="22"/>
        </w:rPr>
        <w:t>5</w:t>
      </w:r>
      <w:r w:rsidRPr="00EE07FC">
        <w:rPr>
          <w:rFonts w:cs="Arial"/>
          <w:sz w:val="22"/>
          <w:szCs w:val="22"/>
        </w:rPr>
        <w:t>.</w:t>
      </w:r>
      <w:r w:rsidRPr="0052684E">
        <w:rPr>
          <w:rFonts w:cs="Arial"/>
          <w:sz w:val="22"/>
          <w:szCs w:val="22"/>
        </w:rPr>
        <w:t xml:space="preserve"> </w:t>
      </w:r>
    </w:p>
    <w:p w14:paraId="4FD50A0B" w14:textId="77777777" w:rsidR="003B3719" w:rsidRDefault="003B3719" w:rsidP="003B3719">
      <w:pPr>
        <w:spacing w:after="0"/>
        <w:jc w:val="both"/>
        <w:rPr>
          <w:rFonts w:cs="Arial"/>
          <w:sz w:val="22"/>
          <w:szCs w:val="22"/>
        </w:rPr>
      </w:pPr>
    </w:p>
    <w:p w14:paraId="3AEF347E" w14:textId="77777777" w:rsidR="003B3719" w:rsidRDefault="003B3719" w:rsidP="003B3719">
      <w:pPr>
        <w:spacing w:after="0"/>
        <w:jc w:val="both"/>
        <w:rPr>
          <w:rFonts w:cs="Arial"/>
          <w:sz w:val="22"/>
          <w:szCs w:val="22"/>
        </w:rPr>
      </w:pPr>
      <w:r w:rsidRPr="00A143D7">
        <w:rPr>
          <w:rFonts w:cs="Arial"/>
          <w:sz w:val="22"/>
          <w:szCs w:val="22"/>
        </w:rPr>
        <w:t>Förutom fördelning av nya medel och omfördelning av medel tillkommer medel för den statliga pris- och lönejusteringen (+</w:t>
      </w:r>
      <w:r>
        <w:rPr>
          <w:rFonts w:cs="Arial"/>
          <w:sz w:val="22"/>
          <w:szCs w:val="22"/>
        </w:rPr>
        <w:t>1,61</w:t>
      </w:r>
      <w:r w:rsidRPr="00A143D7">
        <w:rPr>
          <w:rFonts w:cs="Arial"/>
          <w:sz w:val="22"/>
          <w:szCs w:val="22"/>
        </w:rPr>
        <w:t xml:space="preserve"> % eller </w:t>
      </w:r>
      <w:r>
        <w:rPr>
          <w:rFonts w:cs="Arial"/>
          <w:sz w:val="22"/>
          <w:szCs w:val="22"/>
        </w:rPr>
        <w:t>+23,4</w:t>
      </w:r>
      <w:r w:rsidRPr="00A143D7">
        <w:rPr>
          <w:rFonts w:cs="Arial"/>
          <w:sz w:val="22"/>
          <w:szCs w:val="22"/>
        </w:rPr>
        <w:t xml:space="preserve"> mnkr år 201</w:t>
      </w:r>
      <w:r>
        <w:rPr>
          <w:rFonts w:cs="Arial"/>
          <w:sz w:val="22"/>
          <w:szCs w:val="22"/>
        </w:rPr>
        <w:t>6). Som anges nedan föreslår regeringen ett avdrag gällande anslag som pris- och löneomräknas. Detta i syfte att bidra med finansiering till prioriterade satsningar. Åtgärden medför inte några ingrepp i pris- och löneomräkningsmodellen.</w:t>
      </w:r>
    </w:p>
    <w:p w14:paraId="05BDA037" w14:textId="77777777" w:rsidR="003B3719" w:rsidRPr="0052684E" w:rsidRDefault="003B3719" w:rsidP="003B3719">
      <w:pPr>
        <w:spacing w:after="0"/>
        <w:jc w:val="both"/>
        <w:rPr>
          <w:rFonts w:cs="Arial"/>
          <w:b/>
          <w:sz w:val="22"/>
          <w:szCs w:val="22"/>
        </w:rPr>
      </w:pPr>
    </w:p>
    <w:p w14:paraId="56B81AAC" w14:textId="77777777" w:rsidR="003B3719" w:rsidRPr="00D529B7" w:rsidRDefault="003B3719" w:rsidP="003B3719">
      <w:pPr>
        <w:spacing w:after="0"/>
        <w:jc w:val="both"/>
        <w:rPr>
          <w:rFonts w:cs="Arial"/>
          <w:b/>
          <w:i/>
          <w:sz w:val="22"/>
          <w:szCs w:val="22"/>
        </w:rPr>
      </w:pPr>
      <w:r w:rsidRPr="00D529B7">
        <w:rPr>
          <w:rFonts w:cs="Arial"/>
          <w:b/>
          <w:i/>
          <w:sz w:val="22"/>
          <w:szCs w:val="22"/>
        </w:rPr>
        <w:t>Kvalitetsbaserad resurstilldelning (mnkr)</w:t>
      </w:r>
    </w:p>
    <w:p w14:paraId="1C5D834B" w14:textId="77777777" w:rsidR="003B3719" w:rsidRDefault="003B3719" w:rsidP="003B3719">
      <w:pPr>
        <w:spacing w:after="0"/>
        <w:jc w:val="both"/>
        <w:rPr>
          <w:sz w:val="22"/>
          <w:szCs w:val="22"/>
        </w:rPr>
      </w:pPr>
      <w:r w:rsidRPr="00914282">
        <w:rPr>
          <w:rFonts w:cs="Arial"/>
          <w:sz w:val="22"/>
          <w:szCs w:val="22"/>
        </w:rPr>
        <w:t>I riket avs</w:t>
      </w:r>
      <w:r>
        <w:rPr>
          <w:rFonts w:cs="Arial"/>
          <w:sz w:val="22"/>
          <w:szCs w:val="22"/>
        </w:rPr>
        <w:t>a</w:t>
      </w:r>
      <w:r w:rsidRPr="00914282">
        <w:rPr>
          <w:rFonts w:cs="Arial"/>
          <w:sz w:val="22"/>
          <w:szCs w:val="22"/>
        </w:rPr>
        <w:t>tt</w:t>
      </w:r>
      <w:r>
        <w:rPr>
          <w:rFonts w:cs="Arial"/>
          <w:sz w:val="22"/>
          <w:szCs w:val="22"/>
        </w:rPr>
        <w:t>e</w:t>
      </w:r>
      <w:r w:rsidRPr="00914282">
        <w:rPr>
          <w:rFonts w:cs="Arial"/>
          <w:sz w:val="22"/>
          <w:szCs w:val="22"/>
        </w:rPr>
        <w:t>s totalt 29</w:t>
      </w:r>
      <w:r>
        <w:rPr>
          <w:rFonts w:cs="Arial"/>
          <w:sz w:val="22"/>
          <w:szCs w:val="22"/>
        </w:rPr>
        <w:t>8</w:t>
      </w:r>
      <w:r w:rsidRPr="00914282">
        <w:rPr>
          <w:rFonts w:cs="Arial"/>
          <w:sz w:val="22"/>
          <w:szCs w:val="22"/>
        </w:rPr>
        <w:t xml:space="preserve"> mnkr år 201</w:t>
      </w:r>
      <w:r>
        <w:rPr>
          <w:rFonts w:cs="Arial"/>
          <w:sz w:val="22"/>
          <w:szCs w:val="22"/>
        </w:rPr>
        <w:t>5</w:t>
      </w:r>
      <w:r w:rsidRPr="00914282">
        <w:rPr>
          <w:rFonts w:cs="Arial"/>
          <w:sz w:val="22"/>
          <w:szCs w:val="22"/>
        </w:rPr>
        <w:t xml:space="preserve"> (95 mnkr år 2013</w:t>
      </w:r>
      <w:r>
        <w:rPr>
          <w:rFonts w:cs="Arial"/>
          <w:sz w:val="22"/>
          <w:szCs w:val="22"/>
        </w:rPr>
        <w:t>, 195 mnkr år 2014</w:t>
      </w:r>
      <w:r w:rsidRPr="00914282">
        <w:rPr>
          <w:rFonts w:cs="Arial"/>
          <w:sz w:val="22"/>
          <w:szCs w:val="22"/>
        </w:rPr>
        <w:t xml:space="preserve">) till resurstilldelning utifrån kvalitet, baserat på resultaten av </w:t>
      </w:r>
      <w:r>
        <w:rPr>
          <w:rFonts w:cs="Arial"/>
          <w:sz w:val="22"/>
          <w:szCs w:val="22"/>
        </w:rPr>
        <w:t>Universitetskanslersämbetets</w:t>
      </w:r>
      <w:r w:rsidRPr="00914282">
        <w:rPr>
          <w:rFonts w:cs="Arial"/>
          <w:sz w:val="22"/>
          <w:szCs w:val="22"/>
        </w:rPr>
        <w:t xml:space="preserve"> kvalitets</w:t>
      </w:r>
      <w:r w:rsidRPr="00914282">
        <w:rPr>
          <w:rFonts w:cs="Arial"/>
          <w:sz w:val="22"/>
          <w:szCs w:val="22"/>
        </w:rPr>
        <w:softHyphen/>
        <w:t>utvärderingar. Medel fördela</w:t>
      </w:r>
      <w:r>
        <w:rPr>
          <w:rFonts w:cs="Arial"/>
          <w:sz w:val="22"/>
          <w:szCs w:val="22"/>
        </w:rPr>
        <w:t>de</w:t>
      </w:r>
      <w:r w:rsidRPr="00914282">
        <w:rPr>
          <w:rFonts w:cs="Arial"/>
          <w:sz w:val="22"/>
          <w:szCs w:val="22"/>
        </w:rPr>
        <w:t xml:space="preserve">s till utbildningar som erhållit omdömet ”Mycket hög kvalitet” och utifrån antalet examinerade studenter samt utbildningens längd. </w:t>
      </w:r>
      <w:r>
        <w:rPr>
          <w:sz w:val="22"/>
          <w:szCs w:val="22"/>
        </w:rPr>
        <w:t xml:space="preserve">De knappt 300 miljoner kronor som under 2015 har fördelats genom den kvalitetsbaserade resurstilldelningen bör i stället användas för kvalitetshöjande insatser vid högre utbildning under 2016. Dessa medel kommer att fördelas i regleringsbreven för 2016. </w:t>
      </w:r>
    </w:p>
    <w:p w14:paraId="4A8283D3" w14:textId="77777777" w:rsidR="003B3719" w:rsidRPr="00914282" w:rsidRDefault="003B3719" w:rsidP="003B3719">
      <w:pPr>
        <w:spacing w:after="0"/>
        <w:jc w:val="both"/>
        <w:rPr>
          <w:rFonts w:cs="Arial"/>
          <w:sz w:val="22"/>
          <w:szCs w:val="22"/>
        </w:rPr>
      </w:pPr>
      <w:r w:rsidRPr="00914282">
        <w:rPr>
          <w:rFonts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9"/>
        <w:gridCol w:w="2483"/>
        <w:gridCol w:w="2126"/>
        <w:gridCol w:w="1546"/>
      </w:tblGrid>
      <w:tr w:rsidR="003B3719" w:rsidRPr="00914282" w14:paraId="37D7E024" w14:textId="77777777" w:rsidTr="00E00B8E">
        <w:tc>
          <w:tcPr>
            <w:tcW w:w="2899" w:type="dxa"/>
            <w:shd w:val="clear" w:color="auto" w:fill="EEECE1" w:themeFill="background2"/>
          </w:tcPr>
          <w:p w14:paraId="0C081C9B" w14:textId="77777777" w:rsidR="003B3719" w:rsidRPr="00914282" w:rsidRDefault="003B3719" w:rsidP="00F80217">
            <w:pPr>
              <w:spacing w:after="0"/>
              <w:jc w:val="both"/>
              <w:rPr>
                <w:rFonts w:cs="Arial"/>
                <w:sz w:val="22"/>
                <w:szCs w:val="22"/>
              </w:rPr>
            </w:pPr>
          </w:p>
        </w:tc>
        <w:tc>
          <w:tcPr>
            <w:tcW w:w="2483" w:type="dxa"/>
            <w:shd w:val="clear" w:color="auto" w:fill="EEECE1" w:themeFill="background2"/>
          </w:tcPr>
          <w:p w14:paraId="2E3E2FD1" w14:textId="77777777" w:rsidR="003B3719" w:rsidRPr="00914282" w:rsidRDefault="003B3719" w:rsidP="00F80217">
            <w:pPr>
              <w:spacing w:after="0"/>
              <w:jc w:val="both"/>
              <w:rPr>
                <w:rFonts w:cs="Arial"/>
                <w:sz w:val="22"/>
                <w:szCs w:val="22"/>
              </w:rPr>
            </w:pPr>
            <w:r w:rsidRPr="00914282">
              <w:rPr>
                <w:rFonts w:cs="Arial"/>
                <w:sz w:val="22"/>
                <w:szCs w:val="22"/>
              </w:rPr>
              <w:t>Riket</w:t>
            </w:r>
          </w:p>
        </w:tc>
        <w:tc>
          <w:tcPr>
            <w:tcW w:w="2126" w:type="dxa"/>
            <w:shd w:val="clear" w:color="auto" w:fill="EEECE1" w:themeFill="background2"/>
          </w:tcPr>
          <w:p w14:paraId="22BD1FAC" w14:textId="77777777" w:rsidR="003B3719" w:rsidRPr="00914282" w:rsidRDefault="003B3719" w:rsidP="00F80217">
            <w:pPr>
              <w:spacing w:after="0"/>
              <w:jc w:val="both"/>
              <w:rPr>
                <w:rFonts w:cs="Arial"/>
                <w:sz w:val="22"/>
                <w:szCs w:val="22"/>
              </w:rPr>
            </w:pPr>
            <w:r w:rsidRPr="00914282">
              <w:rPr>
                <w:rFonts w:cs="Arial"/>
                <w:sz w:val="22"/>
                <w:szCs w:val="22"/>
              </w:rPr>
              <w:t>UmU</w:t>
            </w:r>
          </w:p>
        </w:tc>
        <w:tc>
          <w:tcPr>
            <w:tcW w:w="1546" w:type="dxa"/>
            <w:shd w:val="clear" w:color="auto" w:fill="EEECE1" w:themeFill="background2"/>
          </w:tcPr>
          <w:p w14:paraId="4C74CC8B" w14:textId="77777777" w:rsidR="003B3719" w:rsidRPr="00914282" w:rsidRDefault="003B3719" w:rsidP="00F80217">
            <w:pPr>
              <w:spacing w:after="0"/>
              <w:jc w:val="both"/>
              <w:rPr>
                <w:rFonts w:cs="Arial"/>
                <w:sz w:val="22"/>
                <w:szCs w:val="22"/>
              </w:rPr>
            </w:pPr>
            <w:r w:rsidRPr="00914282">
              <w:rPr>
                <w:rFonts w:cs="Arial"/>
                <w:sz w:val="22"/>
                <w:szCs w:val="22"/>
              </w:rPr>
              <w:t>Andel UmU</w:t>
            </w:r>
          </w:p>
        </w:tc>
      </w:tr>
      <w:tr w:rsidR="003B3719" w:rsidRPr="00914282" w14:paraId="316E5C45" w14:textId="77777777" w:rsidTr="00E00B8E">
        <w:trPr>
          <w:trHeight w:val="106"/>
        </w:trPr>
        <w:tc>
          <w:tcPr>
            <w:tcW w:w="2899" w:type="dxa"/>
          </w:tcPr>
          <w:p w14:paraId="6FBE9147" w14:textId="77777777" w:rsidR="003B3719" w:rsidRPr="00914282" w:rsidRDefault="003B3719" w:rsidP="00F80217">
            <w:pPr>
              <w:spacing w:after="0"/>
              <w:jc w:val="both"/>
              <w:rPr>
                <w:rFonts w:cs="Arial"/>
                <w:sz w:val="22"/>
                <w:szCs w:val="22"/>
              </w:rPr>
            </w:pPr>
            <w:r w:rsidRPr="00914282">
              <w:rPr>
                <w:rFonts w:cs="Arial"/>
                <w:sz w:val="22"/>
                <w:szCs w:val="22"/>
              </w:rPr>
              <w:t>Anslagsförändring 201</w:t>
            </w:r>
            <w:r>
              <w:rPr>
                <w:rFonts w:cs="Arial"/>
                <w:sz w:val="22"/>
                <w:szCs w:val="22"/>
              </w:rPr>
              <w:t>6</w:t>
            </w:r>
          </w:p>
        </w:tc>
        <w:tc>
          <w:tcPr>
            <w:tcW w:w="2483" w:type="dxa"/>
          </w:tcPr>
          <w:p w14:paraId="7CD84694" w14:textId="77777777" w:rsidR="003B3719" w:rsidRPr="00914282" w:rsidRDefault="003B3719" w:rsidP="00F80217">
            <w:pPr>
              <w:spacing w:after="0"/>
              <w:jc w:val="both"/>
              <w:rPr>
                <w:rFonts w:cs="Arial"/>
                <w:sz w:val="22"/>
                <w:szCs w:val="22"/>
              </w:rPr>
            </w:pPr>
            <w:r>
              <w:rPr>
                <w:rFonts w:cs="Arial"/>
                <w:sz w:val="22"/>
                <w:szCs w:val="22"/>
              </w:rPr>
              <w:t>+-0 (+298 mnkr totalt)</w:t>
            </w:r>
          </w:p>
        </w:tc>
        <w:tc>
          <w:tcPr>
            <w:tcW w:w="2126" w:type="dxa"/>
          </w:tcPr>
          <w:p w14:paraId="10188A4A" w14:textId="77777777" w:rsidR="003B3719" w:rsidRPr="00914282" w:rsidRDefault="003B3719" w:rsidP="00F80217">
            <w:pPr>
              <w:spacing w:after="0"/>
              <w:jc w:val="both"/>
              <w:rPr>
                <w:rFonts w:cs="Arial"/>
                <w:sz w:val="22"/>
                <w:szCs w:val="22"/>
              </w:rPr>
            </w:pPr>
            <w:r w:rsidRPr="00914282">
              <w:rPr>
                <w:rFonts w:cs="Arial"/>
                <w:sz w:val="22"/>
                <w:szCs w:val="22"/>
              </w:rPr>
              <w:t>Ännu ej beslutat</w:t>
            </w:r>
          </w:p>
        </w:tc>
        <w:tc>
          <w:tcPr>
            <w:tcW w:w="1546" w:type="dxa"/>
          </w:tcPr>
          <w:p w14:paraId="187DE95D" w14:textId="77777777" w:rsidR="003B3719" w:rsidRPr="00914282" w:rsidRDefault="003B3719" w:rsidP="00F80217">
            <w:pPr>
              <w:numPr>
                <w:ilvl w:val="0"/>
                <w:numId w:val="18"/>
              </w:numPr>
              <w:spacing w:after="0"/>
              <w:ind w:left="336" w:hanging="283"/>
              <w:rPr>
                <w:rFonts w:cs="Arial"/>
                <w:sz w:val="22"/>
                <w:szCs w:val="22"/>
              </w:rPr>
            </w:pPr>
            <w:r w:rsidRPr="00914282">
              <w:rPr>
                <w:rFonts w:cs="Arial"/>
                <w:sz w:val="22"/>
                <w:szCs w:val="22"/>
              </w:rPr>
              <w:t>%</w:t>
            </w:r>
          </w:p>
        </w:tc>
      </w:tr>
    </w:tbl>
    <w:p w14:paraId="71D6817B" w14:textId="77777777" w:rsidR="003B3719" w:rsidRDefault="003B3719" w:rsidP="003B3719">
      <w:pPr>
        <w:spacing w:after="0"/>
        <w:jc w:val="both"/>
        <w:rPr>
          <w:rFonts w:cs="Arial"/>
          <w:b/>
          <w:i/>
          <w:sz w:val="22"/>
          <w:szCs w:val="22"/>
          <w:highlight w:val="yellow"/>
        </w:rPr>
      </w:pPr>
    </w:p>
    <w:p w14:paraId="4B2EF9A6" w14:textId="77777777" w:rsidR="00E00B8E" w:rsidRPr="0048440C" w:rsidRDefault="00E00B8E" w:rsidP="003B3719">
      <w:pPr>
        <w:spacing w:after="0"/>
        <w:jc w:val="both"/>
        <w:rPr>
          <w:rFonts w:cs="Arial"/>
          <w:b/>
          <w:i/>
          <w:sz w:val="22"/>
          <w:szCs w:val="22"/>
          <w:highlight w:val="yellow"/>
        </w:rPr>
      </w:pPr>
    </w:p>
    <w:p w14:paraId="4D323149" w14:textId="77777777" w:rsidR="003B3719" w:rsidRPr="00D529B7" w:rsidRDefault="003B3719" w:rsidP="003B3719">
      <w:pPr>
        <w:spacing w:after="0"/>
        <w:jc w:val="both"/>
        <w:rPr>
          <w:rFonts w:cs="Arial"/>
          <w:b/>
          <w:i/>
          <w:sz w:val="22"/>
          <w:szCs w:val="22"/>
        </w:rPr>
      </w:pPr>
      <w:r>
        <w:rPr>
          <w:rFonts w:cs="Arial"/>
          <w:b/>
          <w:i/>
          <w:sz w:val="22"/>
          <w:szCs w:val="22"/>
        </w:rPr>
        <w:t xml:space="preserve">Kvalitetsförstärkning inom humaniora och samhällsvetenskap samt lärar- och förskollärarutbildning </w:t>
      </w:r>
      <w:r w:rsidRPr="00D529B7">
        <w:rPr>
          <w:rFonts w:cs="Arial"/>
          <w:b/>
          <w:i/>
          <w:sz w:val="22"/>
          <w:szCs w:val="22"/>
        </w:rPr>
        <w:t>(mnkr)</w:t>
      </w:r>
    </w:p>
    <w:p w14:paraId="1999A30D" w14:textId="77777777" w:rsidR="003B3719" w:rsidRPr="00065C3E" w:rsidRDefault="003B3719" w:rsidP="003B3719">
      <w:pPr>
        <w:spacing w:after="0"/>
        <w:jc w:val="both"/>
        <w:rPr>
          <w:rFonts w:cs="Arial"/>
          <w:sz w:val="22"/>
          <w:szCs w:val="22"/>
        </w:rPr>
      </w:pPr>
      <w:r w:rsidRPr="00065C3E">
        <w:rPr>
          <w:rFonts w:cs="Arial"/>
          <w:sz w:val="22"/>
          <w:szCs w:val="22"/>
        </w:rPr>
        <w:t>I budgetpropositionen för 201</w:t>
      </w:r>
      <w:r>
        <w:rPr>
          <w:rFonts w:cs="Arial"/>
          <w:sz w:val="22"/>
          <w:szCs w:val="22"/>
        </w:rPr>
        <w:t>6</w:t>
      </w:r>
      <w:r w:rsidRPr="00065C3E">
        <w:rPr>
          <w:rFonts w:cs="Arial"/>
          <w:sz w:val="22"/>
          <w:szCs w:val="22"/>
        </w:rPr>
        <w:t xml:space="preserve"> anges att det finns områden där det finns indikationer på att kvaliteten behöver förbättras, framför allt inom ämnesområdena humaniora och samhällsvetenskap där bristen på undervisningstimmar lyfts. Även vikten av god kvalitet inom lärar- och förskollärarutbildningarna poängteras. Mot bakgrund av detta föreslår regeringen en förstärkning av resurserna till utbildningar inom humaniora och samhällsvetenskap samt till lärar- och förskollärarutbildningar. </w:t>
      </w:r>
      <w:r>
        <w:rPr>
          <w:rFonts w:cs="Arial"/>
          <w:sz w:val="22"/>
          <w:szCs w:val="22"/>
        </w:rPr>
        <w:t>År 2015 ökade anslaget med 125 mnkr och för år</w:t>
      </w:r>
      <w:r w:rsidRPr="00065C3E">
        <w:rPr>
          <w:rFonts w:cs="Arial"/>
          <w:sz w:val="22"/>
          <w:szCs w:val="22"/>
        </w:rPr>
        <w:t xml:space="preserve"> 201</w:t>
      </w:r>
      <w:r>
        <w:rPr>
          <w:rFonts w:cs="Arial"/>
          <w:sz w:val="22"/>
          <w:szCs w:val="22"/>
        </w:rPr>
        <w:t>6</w:t>
      </w:r>
      <w:r w:rsidRPr="00065C3E">
        <w:rPr>
          <w:rFonts w:cs="Arial"/>
          <w:sz w:val="22"/>
          <w:szCs w:val="22"/>
        </w:rPr>
        <w:t xml:space="preserve"> föreslår regeringen att </w:t>
      </w:r>
      <w:r>
        <w:rPr>
          <w:rFonts w:cs="Arial"/>
          <w:sz w:val="22"/>
          <w:szCs w:val="22"/>
        </w:rPr>
        <w:t>250</w:t>
      </w:r>
      <w:r w:rsidRPr="00065C3E">
        <w:rPr>
          <w:rFonts w:cs="Arial"/>
          <w:sz w:val="22"/>
          <w:szCs w:val="22"/>
        </w:rPr>
        <w:t xml:space="preserve"> mnkr avsätts för ändamålet. </w:t>
      </w:r>
      <w:r>
        <w:rPr>
          <w:rFonts w:cs="Arial"/>
          <w:sz w:val="22"/>
          <w:szCs w:val="22"/>
        </w:rPr>
        <w:t>Dessa medel fördelas som förstärkningar av helårsstudentersättningen till berörda utbildningsområden</w:t>
      </w:r>
    </w:p>
    <w:p w14:paraId="3610E1EB" w14:textId="77777777" w:rsidR="003B3719" w:rsidRPr="00065C3E" w:rsidRDefault="003B3719" w:rsidP="003B3719">
      <w:pPr>
        <w:spacing w:after="0"/>
        <w:jc w:val="both"/>
        <w:rPr>
          <w:rFonts w:cs="Arial"/>
          <w:sz w:val="22"/>
          <w:szCs w:val="22"/>
        </w:rPr>
      </w:pPr>
      <w:r w:rsidRPr="00065C3E">
        <w:rPr>
          <w:rFonts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1928"/>
        <w:gridCol w:w="2199"/>
        <w:gridCol w:w="2025"/>
      </w:tblGrid>
      <w:tr w:rsidR="003B3719" w:rsidRPr="00065C3E" w14:paraId="6A3EA853" w14:textId="77777777" w:rsidTr="00F80217">
        <w:tc>
          <w:tcPr>
            <w:tcW w:w="2943" w:type="dxa"/>
            <w:shd w:val="clear" w:color="auto" w:fill="EEECE1" w:themeFill="background2"/>
          </w:tcPr>
          <w:p w14:paraId="40B7D70D" w14:textId="77777777" w:rsidR="003B3719" w:rsidRPr="00065C3E" w:rsidRDefault="003B3719" w:rsidP="00F80217">
            <w:pPr>
              <w:spacing w:after="0"/>
              <w:jc w:val="both"/>
              <w:rPr>
                <w:rFonts w:cs="Arial"/>
                <w:sz w:val="22"/>
                <w:szCs w:val="22"/>
              </w:rPr>
            </w:pPr>
          </w:p>
        </w:tc>
        <w:tc>
          <w:tcPr>
            <w:tcW w:w="1985" w:type="dxa"/>
            <w:shd w:val="clear" w:color="auto" w:fill="EEECE1" w:themeFill="background2"/>
          </w:tcPr>
          <w:p w14:paraId="67C1F007" w14:textId="77777777" w:rsidR="003B3719" w:rsidRPr="00065C3E" w:rsidRDefault="003B3719" w:rsidP="00F80217">
            <w:pPr>
              <w:spacing w:after="0"/>
              <w:jc w:val="both"/>
              <w:rPr>
                <w:rFonts w:cs="Arial"/>
                <w:sz w:val="22"/>
                <w:szCs w:val="22"/>
              </w:rPr>
            </w:pPr>
            <w:r w:rsidRPr="00065C3E">
              <w:rPr>
                <w:rFonts w:cs="Arial"/>
                <w:sz w:val="22"/>
                <w:szCs w:val="22"/>
              </w:rPr>
              <w:t>Riket</w:t>
            </w:r>
          </w:p>
        </w:tc>
        <w:tc>
          <w:tcPr>
            <w:tcW w:w="2268" w:type="dxa"/>
            <w:shd w:val="clear" w:color="auto" w:fill="EEECE1" w:themeFill="background2"/>
          </w:tcPr>
          <w:p w14:paraId="16222260" w14:textId="77777777" w:rsidR="003B3719" w:rsidRPr="00065C3E" w:rsidRDefault="003B3719" w:rsidP="00F80217">
            <w:pPr>
              <w:spacing w:after="0"/>
              <w:jc w:val="both"/>
              <w:rPr>
                <w:rFonts w:cs="Arial"/>
                <w:sz w:val="22"/>
                <w:szCs w:val="22"/>
              </w:rPr>
            </w:pPr>
            <w:r w:rsidRPr="00065C3E">
              <w:rPr>
                <w:rFonts w:cs="Arial"/>
                <w:sz w:val="22"/>
                <w:szCs w:val="22"/>
              </w:rPr>
              <w:t>UmU</w:t>
            </w:r>
          </w:p>
        </w:tc>
        <w:tc>
          <w:tcPr>
            <w:tcW w:w="2084" w:type="dxa"/>
            <w:shd w:val="clear" w:color="auto" w:fill="EEECE1" w:themeFill="background2"/>
          </w:tcPr>
          <w:p w14:paraId="368D6A95" w14:textId="77777777" w:rsidR="003B3719" w:rsidRPr="00065C3E" w:rsidRDefault="003B3719" w:rsidP="00F80217">
            <w:pPr>
              <w:spacing w:after="0"/>
              <w:jc w:val="both"/>
              <w:rPr>
                <w:rFonts w:cs="Arial"/>
                <w:sz w:val="22"/>
                <w:szCs w:val="22"/>
              </w:rPr>
            </w:pPr>
            <w:r w:rsidRPr="00065C3E">
              <w:rPr>
                <w:rFonts w:cs="Arial"/>
                <w:sz w:val="22"/>
                <w:szCs w:val="22"/>
              </w:rPr>
              <w:t>Andel UmU</w:t>
            </w:r>
          </w:p>
        </w:tc>
      </w:tr>
      <w:tr w:rsidR="003B3719" w:rsidRPr="00065C3E" w14:paraId="7E28215A" w14:textId="77777777" w:rsidTr="00F80217">
        <w:trPr>
          <w:trHeight w:val="106"/>
        </w:trPr>
        <w:tc>
          <w:tcPr>
            <w:tcW w:w="2943" w:type="dxa"/>
          </w:tcPr>
          <w:p w14:paraId="00CC5BF6" w14:textId="77777777" w:rsidR="003B3719" w:rsidRPr="00065C3E" w:rsidRDefault="003B3719" w:rsidP="00F80217">
            <w:pPr>
              <w:spacing w:after="0"/>
              <w:jc w:val="both"/>
              <w:rPr>
                <w:rFonts w:cs="Arial"/>
                <w:sz w:val="22"/>
                <w:szCs w:val="22"/>
              </w:rPr>
            </w:pPr>
            <w:r w:rsidRPr="00065C3E">
              <w:rPr>
                <w:rFonts w:cs="Arial"/>
                <w:sz w:val="22"/>
                <w:szCs w:val="22"/>
              </w:rPr>
              <w:t>Anslagsförändring 201</w:t>
            </w:r>
            <w:r>
              <w:rPr>
                <w:rFonts w:cs="Arial"/>
                <w:sz w:val="22"/>
                <w:szCs w:val="22"/>
              </w:rPr>
              <w:t>6</w:t>
            </w:r>
          </w:p>
        </w:tc>
        <w:tc>
          <w:tcPr>
            <w:tcW w:w="1985" w:type="dxa"/>
          </w:tcPr>
          <w:p w14:paraId="3AF09DBF" w14:textId="77777777" w:rsidR="003B3719" w:rsidRPr="00065C3E" w:rsidRDefault="003B3719" w:rsidP="00F80217">
            <w:pPr>
              <w:spacing w:after="0"/>
              <w:jc w:val="both"/>
              <w:rPr>
                <w:rFonts w:cs="Arial"/>
                <w:sz w:val="22"/>
                <w:szCs w:val="22"/>
              </w:rPr>
            </w:pPr>
            <w:r w:rsidRPr="00065C3E">
              <w:rPr>
                <w:rFonts w:cs="Arial"/>
                <w:sz w:val="22"/>
                <w:szCs w:val="22"/>
              </w:rPr>
              <w:t>+</w:t>
            </w:r>
            <w:r>
              <w:rPr>
                <w:rFonts w:cs="Arial"/>
                <w:sz w:val="22"/>
                <w:szCs w:val="22"/>
              </w:rPr>
              <w:t>250</w:t>
            </w:r>
          </w:p>
        </w:tc>
        <w:tc>
          <w:tcPr>
            <w:tcW w:w="2268" w:type="dxa"/>
          </w:tcPr>
          <w:p w14:paraId="3BE076C3" w14:textId="77777777" w:rsidR="003B3719" w:rsidRPr="00065C3E" w:rsidRDefault="003B3719" w:rsidP="00F80217">
            <w:pPr>
              <w:spacing w:after="0"/>
              <w:jc w:val="both"/>
              <w:rPr>
                <w:rFonts w:cs="Arial"/>
                <w:sz w:val="22"/>
                <w:szCs w:val="22"/>
              </w:rPr>
            </w:pPr>
            <w:r>
              <w:rPr>
                <w:rFonts w:cs="Arial"/>
                <w:sz w:val="22"/>
                <w:szCs w:val="22"/>
              </w:rPr>
              <w:t>12,0</w:t>
            </w:r>
          </w:p>
        </w:tc>
        <w:tc>
          <w:tcPr>
            <w:tcW w:w="2084" w:type="dxa"/>
          </w:tcPr>
          <w:p w14:paraId="2D38FBFF" w14:textId="10E33D0E" w:rsidR="003B3719" w:rsidRPr="00065C3E" w:rsidRDefault="003B3719" w:rsidP="00F80217">
            <w:pPr>
              <w:spacing w:after="0"/>
              <w:rPr>
                <w:rFonts w:cs="Arial"/>
                <w:sz w:val="22"/>
                <w:szCs w:val="22"/>
              </w:rPr>
            </w:pPr>
            <w:r>
              <w:rPr>
                <w:rFonts w:cs="Arial"/>
                <w:sz w:val="22"/>
                <w:szCs w:val="22"/>
              </w:rPr>
              <w:t>4,8</w:t>
            </w:r>
            <w:r w:rsidR="00E00B8E">
              <w:rPr>
                <w:rFonts w:cs="Arial"/>
                <w:sz w:val="22"/>
                <w:szCs w:val="22"/>
              </w:rPr>
              <w:t xml:space="preserve"> </w:t>
            </w:r>
            <w:r w:rsidRPr="00065C3E">
              <w:rPr>
                <w:rFonts w:cs="Arial"/>
                <w:sz w:val="22"/>
                <w:szCs w:val="22"/>
              </w:rPr>
              <w:t>%</w:t>
            </w:r>
          </w:p>
        </w:tc>
      </w:tr>
    </w:tbl>
    <w:p w14:paraId="649470FB" w14:textId="77777777" w:rsidR="003B3719" w:rsidRDefault="003B3719" w:rsidP="003B3719">
      <w:pPr>
        <w:spacing w:after="0"/>
        <w:jc w:val="both"/>
        <w:rPr>
          <w:rFonts w:cs="Arial"/>
          <w:b/>
          <w:i/>
          <w:sz w:val="22"/>
          <w:szCs w:val="22"/>
        </w:rPr>
      </w:pPr>
    </w:p>
    <w:p w14:paraId="2DBF2D9E" w14:textId="77777777" w:rsidR="003B3719" w:rsidRDefault="003B3719" w:rsidP="003B3719">
      <w:pPr>
        <w:spacing w:after="0"/>
        <w:jc w:val="both"/>
        <w:rPr>
          <w:rFonts w:cs="Arial"/>
          <w:b/>
          <w:i/>
          <w:sz w:val="22"/>
          <w:szCs w:val="22"/>
        </w:rPr>
      </w:pPr>
    </w:p>
    <w:p w14:paraId="1A45D779" w14:textId="77777777" w:rsidR="003B3719" w:rsidRPr="007F2313" w:rsidRDefault="003B3719" w:rsidP="003B3719">
      <w:pPr>
        <w:spacing w:after="0"/>
        <w:jc w:val="both"/>
        <w:rPr>
          <w:rFonts w:cs="Arial"/>
          <w:b/>
          <w:i/>
          <w:sz w:val="22"/>
          <w:szCs w:val="22"/>
        </w:rPr>
      </w:pPr>
      <w:r>
        <w:rPr>
          <w:rFonts w:cs="Arial"/>
          <w:b/>
          <w:i/>
          <w:sz w:val="22"/>
          <w:szCs w:val="22"/>
        </w:rPr>
        <w:t>Minskning av anslag som pris- och löneomräknas</w:t>
      </w:r>
      <w:r w:rsidRPr="007F2313">
        <w:rPr>
          <w:rFonts w:cs="Arial"/>
          <w:b/>
          <w:i/>
          <w:sz w:val="22"/>
          <w:szCs w:val="22"/>
        </w:rPr>
        <w:t xml:space="preserve"> (mnkr)</w:t>
      </w:r>
    </w:p>
    <w:p w14:paraId="046804F8" w14:textId="77777777" w:rsidR="003B3719" w:rsidRPr="004D3BF0" w:rsidRDefault="003B3719" w:rsidP="003B3719">
      <w:pPr>
        <w:spacing w:after="0"/>
        <w:jc w:val="both"/>
        <w:rPr>
          <w:rFonts w:cs="Arial"/>
          <w:sz w:val="22"/>
          <w:szCs w:val="22"/>
        </w:rPr>
      </w:pPr>
      <w:r>
        <w:rPr>
          <w:rFonts w:cs="Arial"/>
          <w:sz w:val="22"/>
          <w:szCs w:val="22"/>
        </w:rPr>
        <w:t xml:space="preserve">Anslag som pris- och löneomräknas minskades år 2015 för att bidra med finansiering till prioriterade satsningar. För 2016 föreslås anslagen minska ytterligare till följd av denna åtgärd (-3,1 mnkr). Minskningen fördelas i proportion till anslagens storlek. </w:t>
      </w:r>
    </w:p>
    <w:p w14:paraId="25934090" w14:textId="77777777" w:rsidR="003B3719" w:rsidRPr="008E4B30" w:rsidRDefault="003B3719" w:rsidP="003B3719">
      <w:pPr>
        <w:spacing w:after="0"/>
        <w:jc w:val="both"/>
        <w:rPr>
          <w:rFonts w:cs="Arial"/>
          <w:sz w:val="22"/>
          <w:szCs w:val="22"/>
          <w:highlight w:val="yellow"/>
        </w:rPr>
      </w:pPr>
      <w:r w:rsidRPr="008E4B30">
        <w:rPr>
          <w:rFonts w:cs="Arial"/>
          <w:sz w:val="22"/>
          <w:szCs w:val="22"/>
          <w:highlight w:val="yello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1928"/>
        <w:gridCol w:w="2199"/>
        <w:gridCol w:w="2025"/>
      </w:tblGrid>
      <w:tr w:rsidR="003B3719" w:rsidRPr="008E4B30" w14:paraId="27345D69" w14:textId="77777777" w:rsidTr="00F80217">
        <w:tc>
          <w:tcPr>
            <w:tcW w:w="2943" w:type="dxa"/>
            <w:shd w:val="clear" w:color="auto" w:fill="EEECE1" w:themeFill="background2"/>
          </w:tcPr>
          <w:p w14:paraId="1D209D12" w14:textId="77777777" w:rsidR="003B3719" w:rsidRPr="008E4B30" w:rsidRDefault="003B3719" w:rsidP="00F80217">
            <w:pPr>
              <w:spacing w:after="0"/>
              <w:jc w:val="both"/>
              <w:rPr>
                <w:rFonts w:cs="Arial"/>
                <w:sz w:val="22"/>
                <w:szCs w:val="22"/>
                <w:highlight w:val="yellow"/>
              </w:rPr>
            </w:pPr>
          </w:p>
        </w:tc>
        <w:tc>
          <w:tcPr>
            <w:tcW w:w="1985" w:type="dxa"/>
            <w:shd w:val="clear" w:color="auto" w:fill="EEECE1" w:themeFill="background2"/>
          </w:tcPr>
          <w:p w14:paraId="07367D54" w14:textId="77777777" w:rsidR="003B3719" w:rsidRPr="00D529B7" w:rsidRDefault="003B3719" w:rsidP="00F80217">
            <w:pPr>
              <w:spacing w:after="0"/>
              <w:jc w:val="both"/>
              <w:rPr>
                <w:rFonts w:cs="Arial"/>
                <w:sz w:val="22"/>
                <w:szCs w:val="22"/>
              </w:rPr>
            </w:pPr>
            <w:r w:rsidRPr="00D529B7">
              <w:rPr>
                <w:rFonts w:cs="Arial"/>
                <w:sz w:val="22"/>
                <w:szCs w:val="22"/>
              </w:rPr>
              <w:t>Riket</w:t>
            </w:r>
          </w:p>
        </w:tc>
        <w:tc>
          <w:tcPr>
            <w:tcW w:w="2268" w:type="dxa"/>
            <w:shd w:val="clear" w:color="auto" w:fill="EEECE1" w:themeFill="background2"/>
          </w:tcPr>
          <w:p w14:paraId="5072C56C" w14:textId="77777777" w:rsidR="003B3719" w:rsidRPr="00D529B7" w:rsidRDefault="003B3719" w:rsidP="00F80217">
            <w:pPr>
              <w:spacing w:after="0"/>
              <w:jc w:val="both"/>
              <w:rPr>
                <w:rFonts w:cs="Arial"/>
                <w:sz w:val="22"/>
                <w:szCs w:val="22"/>
              </w:rPr>
            </w:pPr>
            <w:r w:rsidRPr="00D529B7">
              <w:rPr>
                <w:rFonts w:cs="Arial"/>
                <w:sz w:val="22"/>
                <w:szCs w:val="22"/>
              </w:rPr>
              <w:t>UmU</w:t>
            </w:r>
          </w:p>
        </w:tc>
        <w:tc>
          <w:tcPr>
            <w:tcW w:w="2084" w:type="dxa"/>
            <w:shd w:val="clear" w:color="auto" w:fill="EEECE1" w:themeFill="background2"/>
          </w:tcPr>
          <w:p w14:paraId="5E0CAC21" w14:textId="77777777" w:rsidR="003B3719" w:rsidRPr="00D529B7" w:rsidRDefault="003B3719" w:rsidP="00F80217">
            <w:pPr>
              <w:spacing w:after="0"/>
              <w:jc w:val="both"/>
              <w:rPr>
                <w:rFonts w:cs="Arial"/>
                <w:sz w:val="22"/>
                <w:szCs w:val="22"/>
              </w:rPr>
            </w:pPr>
            <w:r w:rsidRPr="00D529B7">
              <w:rPr>
                <w:rFonts w:cs="Arial"/>
                <w:sz w:val="22"/>
                <w:szCs w:val="22"/>
              </w:rPr>
              <w:t>Andel UmU</w:t>
            </w:r>
          </w:p>
        </w:tc>
      </w:tr>
      <w:tr w:rsidR="003B3719" w:rsidRPr="00561874" w14:paraId="26A574CB" w14:textId="77777777" w:rsidTr="00F80217">
        <w:tc>
          <w:tcPr>
            <w:tcW w:w="2943" w:type="dxa"/>
          </w:tcPr>
          <w:p w14:paraId="1EF03C72" w14:textId="77777777" w:rsidR="003B3719" w:rsidRPr="004D3BF0" w:rsidRDefault="003B3719" w:rsidP="00F80217">
            <w:pPr>
              <w:spacing w:after="0"/>
              <w:jc w:val="both"/>
              <w:rPr>
                <w:rFonts w:cs="Arial"/>
                <w:sz w:val="22"/>
                <w:szCs w:val="22"/>
              </w:rPr>
            </w:pPr>
            <w:r>
              <w:rPr>
                <w:rFonts w:cs="Arial"/>
                <w:sz w:val="22"/>
                <w:szCs w:val="22"/>
              </w:rPr>
              <w:t>Anslagsförändring</w:t>
            </w:r>
            <w:r w:rsidRPr="004D3BF0">
              <w:rPr>
                <w:rFonts w:cs="Arial"/>
                <w:sz w:val="22"/>
                <w:szCs w:val="22"/>
              </w:rPr>
              <w:t xml:space="preserve"> 201</w:t>
            </w:r>
            <w:r>
              <w:rPr>
                <w:rFonts w:cs="Arial"/>
                <w:sz w:val="22"/>
                <w:szCs w:val="22"/>
              </w:rPr>
              <w:t>6</w:t>
            </w:r>
          </w:p>
        </w:tc>
        <w:tc>
          <w:tcPr>
            <w:tcW w:w="1985" w:type="dxa"/>
          </w:tcPr>
          <w:p w14:paraId="014B96D8" w14:textId="77777777" w:rsidR="003B3719" w:rsidRPr="004D3BF0" w:rsidRDefault="003B3719" w:rsidP="00F80217">
            <w:pPr>
              <w:spacing w:after="0"/>
              <w:jc w:val="both"/>
              <w:rPr>
                <w:rFonts w:cs="Arial"/>
                <w:sz w:val="22"/>
                <w:szCs w:val="22"/>
              </w:rPr>
            </w:pPr>
            <w:r>
              <w:rPr>
                <w:rFonts w:cs="Arial"/>
                <w:sz w:val="22"/>
                <w:szCs w:val="22"/>
              </w:rPr>
              <w:t>-</w:t>
            </w:r>
          </w:p>
        </w:tc>
        <w:tc>
          <w:tcPr>
            <w:tcW w:w="2268" w:type="dxa"/>
          </w:tcPr>
          <w:p w14:paraId="4BE67D23" w14:textId="77777777" w:rsidR="003B3719" w:rsidRPr="004D3BF0" w:rsidRDefault="003B3719" w:rsidP="00F80217">
            <w:pPr>
              <w:spacing w:after="0"/>
              <w:jc w:val="both"/>
              <w:rPr>
                <w:rFonts w:cs="Arial"/>
                <w:sz w:val="22"/>
                <w:szCs w:val="22"/>
              </w:rPr>
            </w:pPr>
            <w:r w:rsidRPr="004D3BF0">
              <w:rPr>
                <w:rFonts w:cs="Arial"/>
                <w:sz w:val="22"/>
                <w:szCs w:val="22"/>
              </w:rPr>
              <w:t>-</w:t>
            </w:r>
            <w:r>
              <w:rPr>
                <w:rFonts w:cs="Arial"/>
                <w:sz w:val="22"/>
                <w:szCs w:val="22"/>
              </w:rPr>
              <w:t>3,1</w:t>
            </w:r>
          </w:p>
        </w:tc>
        <w:tc>
          <w:tcPr>
            <w:tcW w:w="2084" w:type="dxa"/>
          </w:tcPr>
          <w:p w14:paraId="645B890C" w14:textId="77777777" w:rsidR="003B3719" w:rsidRPr="00561874" w:rsidRDefault="003B3719" w:rsidP="00F80217">
            <w:pPr>
              <w:spacing w:after="0"/>
              <w:jc w:val="both"/>
              <w:rPr>
                <w:rFonts w:cs="Arial"/>
                <w:sz w:val="22"/>
                <w:szCs w:val="22"/>
              </w:rPr>
            </w:pPr>
            <w:r>
              <w:rPr>
                <w:rFonts w:cs="Arial"/>
                <w:sz w:val="22"/>
                <w:szCs w:val="22"/>
              </w:rPr>
              <w:t xml:space="preserve">- </w:t>
            </w:r>
            <w:r w:rsidRPr="004D3BF0">
              <w:rPr>
                <w:rFonts w:cs="Arial"/>
                <w:sz w:val="22"/>
                <w:szCs w:val="22"/>
              </w:rPr>
              <w:t>%</w:t>
            </w:r>
          </w:p>
        </w:tc>
      </w:tr>
    </w:tbl>
    <w:p w14:paraId="347E44A6" w14:textId="77777777" w:rsidR="003B3719" w:rsidRDefault="003B3719" w:rsidP="003B3719">
      <w:pPr>
        <w:spacing w:after="0"/>
        <w:jc w:val="both"/>
        <w:rPr>
          <w:rFonts w:cs="Arial"/>
          <w:b/>
          <w:i/>
          <w:sz w:val="22"/>
          <w:szCs w:val="22"/>
        </w:rPr>
      </w:pPr>
    </w:p>
    <w:p w14:paraId="6B1C50EB" w14:textId="77777777" w:rsidR="003B3719" w:rsidRPr="007F2313" w:rsidRDefault="003B3719" w:rsidP="003B3719">
      <w:pPr>
        <w:spacing w:after="0"/>
        <w:jc w:val="both"/>
        <w:rPr>
          <w:rFonts w:cs="Arial"/>
          <w:b/>
          <w:i/>
          <w:sz w:val="22"/>
          <w:szCs w:val="22"/>
        </w:rPr>
      </w:pPr>
      <w:r>
        <w:rPr>
          <w:rFonts w:cs="Arial"/>
          <w:b/>
          <w:i/>
          <w:sz w:val="22"/>
          <w:szCs w:val="22"/>
        </w:rPr>
        <w:lastRenderedPageBreak/>
        <w:t>Utbyggnad av högskoleplatser</w:t>
      </w:r>
      <w:r w:rsidRPr="007F2313">
        <w:rPr>
          <w:rFonts w:cs="Arial"/>
          <w:b/>
          <w:i/>
          <w:sz w:val="22"/>
          <w:szCs w:val="22"/>
        </w:rPr>
        <w:t xml:space="preserve"> (mnkr)</w:t>
      </w:r>
    </w:p>
    <w:p w14:paraId="3859458D" w14:textId="77777777" w:rsidR="003B3719" w:rsidRPr="007F2313" w:rsidRDefault="003B3719" w:rsidP="003B3719">
      <w:pPr>
        <w:spacing w:after="0"/>
        <w:jc w:val="both"/>
        <w:rPr>
          <w:rFonts w:cs="Arial"/>
          <w:sz w:val="22"/>
          <w:szCs w:val="22"/>
        </w:rPr>
      </w:pPr>
      <w:r>
        <w:rPr>
          <w:rFonts w:cs="Arial"/>
          <w:sz w:val="22"/>
          <w:szCs w:val="22"/>
        </w:rPr>
        <w:t xml:space="preserve">Anslaget ökar utifrån den utbyggnad som inleddes år 2015, år 2015 ökade anslagen i riket med 382 mnkr. År 2016 är ökningen 624 mnkr (jämfört med år 2014).    </w:t>
      </w:r>
    </w:p>
    <w:p w14:paraId="53CE0791" w14:textId="77777777" w:rsidR="003B3719" w:rsidRPr="007F2313" w:rsidRDefault="003B3719" w:rsidP="003B3719">
      <w:pPr>
        <w:spacing w:after="0"/>
        <w:jc w:val="both"/>
        <w:rPr>
          <w:rFonts w:cs="Arial"/>
          <w:sz w:val="22"/>
          <w:szCs w:val="22"/>
        </w:rPr>
      </w:pPr>
      <w:r w:rsidRPr="007F2313">
        <w:rPr>
          <w:rFonts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1932"/>
        <w:gridCol w:w="2204"/>
        <w:gridCol w:w="2029"/>
      </w:tblGrid>
      <w:tr w:rsidR="003B3719" w:rsidRPr="007F2313" w14:paraId="0EE1316F" w14:textId="77777777" w:rsidTr="00356BBE">
        <w:tc>
          <w:tcPr>
            <w:tcW w:w="2943" w:type="dxa"/>
            <w:shd w:val="clear" w:color="auto" w:fill="EEECE1" w:themeFill="background2"/>
          </w:tcPr>
          <w:p w14:paraId="22051B3F" w14:textId="77777777" w:rsidR="003B3719" w:rsidRPr="007F2313" w:rsidRDefault="003B3719" w:rsidP="00F80217">
            <w:pPr>
              <w:spacing w:after="0"/>
              <w:jc w:val="both"/>
              <w:rPr>
                <w:rFonts w:cs="Arial"/>
                <w:sz w:val="22"/>
                <w:szCs w:val="22"/>
              </w:rPr>
            </w:pPr>
          </w:p>
        </w:tc>
        <w:tc>
          <w:tcPr>
            <w:tcW w:w="1985" w:type="dxa"/>
            <w:shd w:val="clear" w:color="auto" w:fill="EEECE1" w:themeFill="background2"/>
          </w:tcPr>
          <w:p w14:paraId="38F303FF" w14:textId="77777777" w:rsidR="003B3719" w:rsidRPr="007F2313" w:rsidRDefault="003B3719" w:rsidP="00F80217">
            <w:pPr>
              <w:spacing w:after="0"/>
              <w:jc w:val="both"/>
              <w:rPr>
                <w:rFonts w:cs="Arial"/>
                <w:sz w:val="22"/>
                <w:szCs w:val="22"/>
              </w:rPr>
            </w:pPr>
            <w:r w:rsidRPr="007F2313">
              <w:rPr>
                <w:rFonts w:cs="Arial"/>
                <w:sz w:val="22"/>
                <w:szCs w:val="22"/>
              </w:rPr>
              <w:t>Riket</w:t>
            </w:r>
          </w:p>
        </w:tc>
        <w:tc>
          <w:tcPr>
            <w:tcW w:w="2268" w:type="dxa"/>
            <w:shd w:val="clear" w:color="auto" w:fill="EEECE1" w:themeFill="background2"/>
          </w:tcPr>
          <w:p w14:paraId="5DED2BBF" w14:textId="77777777" w:rsidR="003B3719" w:rsidRPr="007F2313" w:rsidRDefault="003B3719" w:rsidP="00F80217">
            <w:pPr>
              <w:spacing w:after="0"/>
              <w:jc w:val="both"/>
              <w:rPr>
                <w:rFonts w:cs="Arial"/>
                <w:sz w:val="22"/>
                <w:szCs w:val="22"/>
              </w:rPr>
            </w:pPr>
            <w:r w:rsidRPr="007F2313">
              <w:rPr>
                <w:rFonts w:cs="Arial"/>
                <w:sz w:val="22"/>
                <w:szCs w:val="22"/>
              </w:rPr>
              <w:t>UmU</w:t>
            </w:r>
          </w:p>
        </w:tc>
        <w:tc>
          <w:tcPr>
            <w:tcW w:w="2084" w:type="dxa"/>
            <w:shd w:val="clear" w:color="auto" w:fill="EEECE1" w:themeFill="background2"/>
          </w:tcPr>
          <w:p w14:paraId="6EB41D9E" w14:textId="77777777" w:rsidR="003B3719" w:rsidRPr="007F2313" w:rsidRDefault="003B3719" w:rsidP="00F80217">
            <w:pPr>
              <w:spacing w:after="0"/>
              <w:jc w:val="both"/>
              <w:rPr>
                <w:rFonts w:cs="Arial"/>
                <w:sz w:val="22"/>
                <w:szCs w:val="22"/>
              </w:rPr>
            </w:pPr>
            <w:r w:rsidRPr="007F2313">
              <w:rPr>
                <w:rFonts w:cs="Arial"/>
                <w:sz w:val="22"/>
                <w:szCs w:val="22"/>
              </w:rPr>
              <w:t>Andel UmU</w:t>
            </w:r>
          </w:p>
        </w:tc>
      </w:tr>
      <w:tr w:rsidR="003B3719" w:rsidRPr="00561874" w14:paraId="24DF138D" w14:textId="77777777" w:rsidTr="00356BBE">
        <w:tc>
          <w:tcPr>
            <w:tcW w:w="2943" w:type="dxa"/>
          </w:tcPr>
          <w:p w14:paraId="70322CB0" w14:textId="77777777" w:rsidR="003B3719" w:rsidRPr="007F2313" w:rsidRDefault="003B3719" w:rsidP="00F80217">
            <w:pPr>
              <w:spacing w:after="0"/>
              <w:jc w:val="both"/>
              <w:rPr>
                <w:rFonts w:cs="Arial"/>
                <w:sz w:val="22"/>
                <w:szCs w:val="22"/>
              </w:rPr>
            </w:pPr>
            <w:r>
              <w:rPr>
                <w:rFonts w:cs="Arial"/>
                <w:sz w:val="22"/>
                <w:szCs w:val="22"/>
              </w:rPr>
              <w:t xml:space="preserve">Anslagsökning </w:t>
            </w:r>
            <w:r w:rsidRPr="007F2313">
              <w:rPr>
                <w:rFonts w:cs="Arial"/>
                <w:sz w:val="22"/>
                <w:szCs w:val="22"/>
              </w:rPr>
              <w:t>201</w:t>
            </w:r>
            <w:r>
              <w:rPr>
                <w:rFonts w:cs="Arial"/>
                <w:sz w:val="22"/>
                <w:szCs w:val="22"/>
              </w:rPr>
              <w:t>6</w:t>
            </w:r>
          </w:p>
        </w:tc>
        <w:tc>
          <w:tcPr>
            <w:tcW w:w="1985" w:type="dxa"/>
          </w:tcPr>
          <w:p w14:paraId="4FE95313" w14:textId="77777777" w:rsidR="003B3719" w:rsidRPr="007F2313" w:rsidRDefault="003B3719" w:rsidP="00F80217">
            <w:pPr>
              <w:spacing w:after="0"/>
              <w:jc w:val="both"/>
              <w:rPr>
                <w:rFonts w:cs="Arial"/>
                <w:sz w:val="22"/>
                <w:szCs w:val="22"/>
              </w:rPr>
            </w:pPr>
            <w:r>
              <w:rPr>
                <w:rFonts w:cs="Arial"/>
                <w:sz w:val="22"/>
                <w:szCs w:val="22"/>
              </w:rPr>
              <w:t>+242</w:t>
            </w:r>
          </w:p>
        </w:tc>
        <w:tc>
          <w:tcPr>
            <w:tcW w:w="2268" w:type="dxa"/>
          </w:tcPr>
          <w:p w14:paraId="4524D28C" w14:textId="77777777" w:rsidR="003B3719" w:rsidRPr="007F2313" w:rsidRDefault="003B3719" w:rsidP="00F80217">
            <w:pPr>
              <w:spacing w:after="0"/>
              <w:jc w:val="both"/>
              <w:rPr>
                <w:rFonts w:cs="Arial"/>
                <w:sz w:val="22"/>
                <w:szCs w:val="22"/>
              </w:rPr>
            </w:pPr>
            <w:r>
              <w:rPr>
                <w:rFonts w:cs="Arial"/>
                <w:sz w:val="22"/>
                <w:szCs w:val="22"/>
              </w:rPr>
              <w:t>+14,5</w:t>
            </w:r>
          </w:p>
        </w:tc>
        <w:tc>
          <w:tcPr>
            <w:tcW w:w="2084" w:type="dxa"/>
          </w:tcPr>
          <w:p w14:paraId="30AE2C1D" w14:textId="11DC0659" w:rsidR="003B3719" w:rsidRPr="00561874" w:rsidRDefault="003B3719" w:rsidP="00F80217">
            <w:pPr>
              <w:spacing w:after="0"/>
              <w:jc w:val="both"/>
              <w:rPr>
                <w:rFonts w:cs="Arial"/>
                <w:sz w:val="22"/>
                <w:szCs w:val="22"/>
              </w:rPr>
            </w:pPr>
            <w:r>
              <w:rPr>
                <w:rFonts w:cs="Arial"/>
                <w:sz w:val="22"/>
                <w:szCs w:val="22"/>
              </w:rPr>
              <w:t>6,0</w:t>
            </w:r>
            <w:r w:rsidR="00E00B8E">
              <w:rPr>
                <w:rFonts w:cs="Arial"/>
                <w:sz w:val="22"/>
                <w:szCs w:val="22"/>
              </w:rPr>
              <w:t xml:space="preserve"> </w:t>
            </w:r>
            <w:r w:rsidRPr="007F2313">
              <w:rPr>
                <w:rFonts w:cs="Arial"/>
                <w:sz w:val="22"/>
                <w:szCs w:val="22"/>
              </w:rPr>
              <w:t>%</w:t>
            </w:r>
          </w:p>
        </w:tc>
      </w:tr>
    </w:tbl>
    <w:p w14:paraId="1CFDD8D9" w14:textId="77777777" w:rsidR="003B3719" w:rsidRDefault="003B3719" w:rsidP="003B3719">
      <w:pPr>
        <w:spacing w:after="0"/>
        <w:jc w:val="both"/>
        <w:rPr>
          <w:rFonts w:cs="Arial"/>
          <w:b/>
          <w:i/>
          <w:sz w:val="22"/>
          <w:szCs w:val="22"/>
        </w:rPr>
      </w:pPr>
    </w:p>
    <w:p w14:paraId="78A9F542" w14:textId="77777777" w:rsidR="00E00B8E" w:rsidRPr="00B40FB0" w:rsidRDefault="00E00B8E" w:rsidP="003B3719">
      <w:pPr>
        <w:spacing w:after="0"/>
        <w:jc w:val="both"/>
        <w:rPr>
          <w:rFonts w:cs="Arial"/>
          <w:b/>
          <w:i/>
          <w:sz w:val="22"/>
          <w:szCs w:val="22"/>
        </w:rPr>
      </w:pPr>
    </w:p>
    <w:p w14:paraId="5174C164" w14:textId="77777777" w:rsidR="003B3719" w:rsidRPr="00F54D35" w:rsidRDefault="003B3719" w:rsidP="003B3719">
      <w:pPr>
        <w:spacing w:after="0"/>
        <w:jc w:val="both"/>
        <w:rPr>
          <w:rFonts w:cs="Arial"/>
          <w:b/>
          <w:i/>
          <w:sz w:val="22"/>
          <w:szCs w:val="22"/>
        </w:rPr>
      </w:pPr>
      <w:r>
        <w:rPr>
          <w:rFonts w:cs="Arial"/>
          <w:b/>
          <w:i/>
          <w:sz w:val="22"/>
          <w:szCs w:val="22"/>
        </w:rPr>
        <w:t>Tillfälliga h</w:t>
      </w:r>
      <w:r w:rsidRPr="00F54D35">
        <w:rPr>
          <w:rFonts w:cs="Arial"/>
          <w:b/>
          <w:i/>
          <w:sz w:val="22"/>
          <w:szCs w:val="22"/>
        </w:rPr>
        <w:t>ögskoleplatser (mnkr)</w:t>
      </w:r>
    </w:p>
    <w:p w14:paraId="072BFAE3" w14:textId="77777777" w:rsidR="003B3719" w:rsidRDefault="003B3719" w:rsidP="003B3719">
      <w:pPr>
        <w:spacing w:after="0"/>
        <w:jc w:val="both"/>
        <w:rPr>
          <w:rFonts w:cs="Arial"/>
          <w:sz w:val="22"/>
          <w:szCs w:val="22"/>
        </w:rPr>
      </w:pPr>
      <w:r w:rsidRPr="00C728CD">
        <w:rPr>
          <w:rFonts w:cs="Arial"/>
          <w:sz w:val="22"/>
          <w:szCs w:val="22"/>
        </w:rPr>
        <w:t>År 201</w:t>
      </w:r>
      <w:r>
        <w:rPr>
          <w:rFonts w:cs="Arial"/>
          <w:sz w:val="22"/>
          <w:szCs w:val="22"/>
        </w:rPr>
        <w:t>3–</w:t>
      </w:r>
      <w:r w:rsidRPr="00C728CD">
        <w:rPr>
          <w:rFonts w:cs="Arial"/>
          <w:sz w:val="22"/>
          <w:szCs w:val="22"/>
        </w:rPr>
        <w:t xml:space="preserve">2015 </w:t>
      </w:r>
      <w:r>
        <w:rPr>
          <w:rFonts w:cs="Arial"/>
          <w:sz w:val="22"/>
          <w:szCs w:val="22"/>
        </w:rPr>
        <w:t>har</w:t>
      </w:r>
      <w:r w:rsidRPr="00C728CD">
        <w:rPr>
          <w:rFonts w:cs="Arial"/>
          <w:sz w:val="22"/>
          <w:szCs w:val="22"/>
        </w:rPr>
        <w:t xml:space="preserve"> regeringen tillfälligt </w:t>
      </w:r>
      <w:r>
        <w:rPr>
          <w:rFonts w:cs="Arial"/>
          <w:sz w:val="22"/>
          <w:szCs w:val="22"/>
        </w:rPr>
        <w:t xml:space="preserve">satsat </w:t>
      </w:r>
      <w:r w:rsidRPr="00C728CD">
        <w:rPr>
          <w:rFonts w:cs="Arial"/>
          <w:sz w:val="22"/>
          <w:szCs w:val="22"/>
        </w:rPr>
        <w:t xml:space="preserve">300 mnkr per år för 4 200 högskoleplatser, fördelningen mellan högskoleplatser förändras under dessa år. Regeringens utgångspunkt för fördelningen har främst varit studenternas efterfrågan. </w:t>
      </w:r>
      <w:r>
        <w:rPr>
          <w:rFonts w:cs="Arial"/>
          <w:sz w:val="22"/>
          <w:szCs w:val="22"/>
        </w:rPr>
        <w:t>Till följd av att den tillfälliga sats-ningen trappas ned, minskas anslaget för UmU från 2,1 mnkr år 2015 till 0 mnkr år 2016.</w:t>
      </w:r>
    </w:p>
    <w:p w14:paraId="3D449CF9" w14:textId="77777777" w:rsidR="003B3719" w:rsidRPr="00B40FB0" w:rsidRDefault="003B3719" w:rsidP="003B3719">
      <w:pPr>
        <w:spacing w:after="0"/>
        <w:jc w:val="both"/>
        <w:rPr>
          <w:rFonts w:cs="Arial"/>
          <w:sz w:val="22"/>
          <w:szCs w:val="22"/>
        </w:rPr>
      </w:pPr>
      <w:r w:rsidRPr="00B40FB0">
        <w:rPr>
          <w:rFonts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1929"/>
        <w:gridCol w:w="2199"/>
        <w:gridCol w:w="2026"/>
      </w:tblGrid>
      <w:tr w:rsidR="003B3719" w:rsidRPr="00561874" w14:paraId="3361075B" w14:textId="77777777" w:rsidTr="00F80217">
        <w:tc>
          <w:tcPr>
            <w:tcW w:w="2943" w:type="dxa"/>
            <w:shd w:val="clear" w:color="auto" w:fill="EEECE1" w:themeFill="background2"/>
          </w:tcPr>
          <w:p w14:paraId="0C46D361" w14:textId="77777777" w:rsidR="003B3719" w:rsidRPr="00561874" w:rsidRDefault="003B3719" w:rsidP="00F80217">
            <w:pPr>
              <w:spacing w:after="0"/>
              <w:jc w:val="both"/>
              <w:rPr>
                <w:rFonts w:cs="Arial"/>
                <w:sz w:val="22"/>
                <w:szCs w:val="22"/>
              </w:rPr>
            </w:pPr>
          </w:p>
        </w:tc>
        <w:tc>
          <w:tcPr>
            <w:tcW w:w="1985" w:type="dxa"/>
            <w:shd w:val="clear" w:color="auto" w:fill="EEECE1" w:themeFill="background2"/>
          </w:tcPr>
          <w:p w14:paraId="1427D854" w14:textId="77777777" w:rsidR="003B3719" w:rsidRPr="00561874" w:rsidRDefault="003B3719" w:rsidP="00F80217">
            <w:pPr>
              <w:spacing w:after="0"/>
              <w:jc w:val="both"/>
              <w:rPr>
                <w:rFonts w:cs="Arial"/>
                <w:sz w:val="22"/>
                <w:szCs w:val="22"/>
              </w:rPr>
            </w:pPr>
            <w:r w:rsidRPr="00561874">
              <w:rPr>
                <w:rFonts w:cs="Arial"/>
                <w:sz w:val="22"/>
                <w:szCs w:val="22"/>
              </w:rPr>
              <w:t>Riket</w:t>
            </w:r>
          </w:p>
        </w:tc>
        <w:tc>
          <w:tcPr>
            <w:tcW w:w="2268" w:type="dxa"/>
            <w:shd w:val="clear" w:color="auto" w:fill="EEECE1" w:themeFill="background2"/>
          </w:tcPr>
          <w:p w14:paraId="57A2C8CF" w14:textId="77777777" w:rsidR="003B3719" w:rsidRPr="00561874" w:rsidRDefault="003B3719" w:rsidP="00F80217">
            <w:pPr>
              <w:spacing w:after="0"/>
              <w:jc w:val="both"/>
              <w:rPr>
                <w:rFonts w:cs="Arial"/>
                <w:sz w:val="22"/>
                <w:szCs w:val="22"/>
              </w:rPr>
            </w:pPr>
            <w:r w:rsidRPr="00561874">
              <w:rPr>
                <w:rFonts w:cs="Arial"/>
                <w:sz w:val="22"/>
                <w:szCs w:val="22"/>
              </w:rPr>
              <w:t>UmU</w:t>
            </w:r>
          </w:p>
        </w:tc>
        <w:tc>
          <w:tcPr>
            <w:tcW w:w="2084" w:type="dxa"/>
            <w:shd w:val="clear" w:color="auto" w:fill="EEECE1" w:themeFill="background2"/>
          </w:tcPr>
          <w:p w14:paraId="1AFE932E" w14:textId="77777777" w:rsidR="003B3719" w:rsidRPr="00561874" w:rsidRDefault="003B3719" w:rsidP="00F80217">
            <w:pPr>
              <w:spacing w:after="0"/>
              <w:jc w:val="both"/>
              <w:rPr>
                <w:rFonts w:cs="Arial"/>
                <w:sz w:val="22"/>
                <w:szCs w:val="22"/>
              </w:rPr>
            </w:pPr>
            <w:r w:rsidRPr="00561874">
              <w:rPr>
                <w:rFonts w:cs="Arial"/>
                <w:sz w:val="22"/>
                <w:szCs w:val="22"/>
              </w:rPr>
              <w:t>Andel UmU</w:t>
            </w:r>
          </w:p>
        </w:tc>
      </w:tr>
      <w:tr w:rsidR="003B3719" w:rsidRPr="00561874" w14:paraId="1FB9F13F" w14:textId="77777777" w:rsidTr="00F80217">
        <w:tc>
          <w:tcPr>
            <w:tcW w:w="2943" w:type="dxa"/>
          </w:tcPr>
          <w:p w14:paraId="2C63F804" w14:textId="77777777" w:rsidR="003B3719" w:rsidRPr="00561874" w:rsidRDefault="003B3719" w:rsidP="00F80217">
            <w:pPr>
              <w:spacing w:after="0"/>
              <w:jc w:val="both"/>
              <w:rPr>
                <w:rFonts w:cs="Arial"/>
                <w:sz w:val="22"/>
                <w:szCs w:val="22"/>
              </w:rPr>
            </w:pPr>
            <w:r w:rsidRPr="00561874">
              <w:rPr>
                <w:rFonts w:cs="Arial"/>
                <w:sz w:val="22"/>
                <w:szCs w:val="22"/>
              </w:rPr>
              <w:t>Anslagsminskning 201</w:t>
            </w:r>
            <w:r>
              <w:rPr>
                <w:rFonts w:cs="Arial"/>
                <w:sz w:val="22"/>
                <w:szCs w:val="22"/>
              </w:rPr>
              <w:t>6</w:t>
            </w:r>
          </w:p>
        </w:tc>
        <w:tc>
          <w:tcPr>
            <w:tcW w:w="1985" w:type="dxa"/>
          </w:tcPr>
          <w:p w14:paraId="122E6FA6" w14:textId="77777777" w:rsidR="003B3719" w:rsidRPr="00561874" w:rsidRDefault="003B3719" w:rsidP="00F80217">
            <w:pPr>
              <w:spacing w:after="0"/>
              <w:jc w:val="both"/>
              <w:rPr>
                <w:rFonts w:cs="Arial"/>
                <w:sz w:val="22"/>
                <w:szCs w:val="22"/>
              </w:rPr>
            </w:pPr>
            <w:r>
              <w:rPr>
                <w:rFonts w:cs="Arial"/>
                <w:sz w:val="22"/>
                <w:szCs w:val="22"/>
              </w:rPr>
              <w:t>-300</w:t>
            </w:r>
          </w:p>
        </w:tc>
        <w:tc>
          <w:tcPr>
            <w:tcW w:w="2268" w:type="dxa"/>
          </w:tcPr>
          <w:p w14:paraId="1A7DDDA4" w14:textId="77777777" w:rsidR="003B3719" w:rsidRPr="00561874" w:rsidRDefault="003B3719" w:rsidP="00F80217">
            <w:pPr>
              <w:spacing w:after="0"/>
              <w:jc w:val="both"/>
              <w:rPr>
                <w:rFonts w:cs="Arial"/>
                <w:sz w:val="22"/>
                <w:szCs w:val="22"/>
              </w:rPr>
            </w:pPr>
            <w:r>
              <w:rPr>
                <w:rFonts w:cs="Arial"/>
                <w:sz w:val="22"/>
                <w:szCs w:val="22"/>
              </w:rPr>
              <w:t>-2,1</w:t>
            </w:r>
          </w:p>
        </w:tc>
        <w:tc>
          <w:tcPr>
            <w:tcW w:w="2084" w:type="dxa"/>
          </w:tcPr>
          <w:p w14:paraId="69ACA81B" w14:textId="77777777" w:rsidR="003B3719" w:rsidRPr="00561874" w:rsidRDefault="003B3719" w:rsidP="00F80217">
            <w:pPr>
              <w:spacing w:after="0"/>
              <w:jc w:val="both"/>
              <w:rPr>
                <w:rFonts w:cs="Arial"/>
                <w:sz w:val="22"/>
                <w:szCs w:val="22"/>
              </w:rPr>
            </w:pPr>
            <w:r w:rsidRPr="00561874">
              <w:rPr>
                <w:rFonts w:cs="Arial"/>
                <w:sz w:val="22"/>
                <w:szCs w:val="22"/>
              </w:rPr>
              <w:t>-</w:t>
            </w:r>
          </w:p>
        </w:tc>
      </w:tr>
    </w:tbl>
    <w:p w14:paraId="3B68C4C5" w14:textId="77777777" w:rsidR="003B3719" w:rsidRDefault="003B3719" w:rsidP="003B3719">
      <w:pPr>
        <w:spacing w:after="0"/>
        <w:jc w:val="both"/>
        <w:rPr>
          <w:rFonts w:cs="Arial"/>
          <w:b/>
          <w:i/>
          <w:sz w:val="22"/>
          <w:szCs w:val="22"/>
        </w:rPr>
      </w:pPr>
    </w:p>
    <w:p w14:paraId="2B32E781" w14:textId="77777777" w:rsidR="00E00B8E" w:rsidRDefault="00E00B8E" w:rsidP="003B3719">
      <w:pPr>
        <w:spacing w:after="0"/>
        <w:jc w:val="both"/>
        <w:rPr>
          <w:rFonts w:cs="Arial"/>
          <w:b/>
          <w:i/>
          <w:sz w:val="22"/>
          <w:szCs w:val="22"/>
        </w:rPr>
      </w:pPr>
    </w:p>
    <w:p w14:paraId="3D518CF6" w14:textId="77777777" w:rsidR="003B3719" w:rsidRPr="00F91976" w:rsidRDefault="003B3719" w:rsidP="003B3719">
      <w:pPr>
        <w:spacing w:after="0"/>
        <w:jc w:val="both"/>
        <w:rPr>
          <w:rFonts w:cs="Arial"/>
          <w:b/>
          <w:i/>
          <w:sz w:val="22"/>
          <w:szCs w:val="22"/>
        </w:rPr>
      </w:pPr>
      <w:r>
        <w:rPr>
          <w:rFonts w:cs="Arial"/>
          <w:b/>
          <w:i/>
          <w:sz w:val="22"/>
          <w:szCs w:val="22"/>
        </w:rPr>
        <w:t>Medel för miljövetenskap i Kiruna överförs</w:t>
      </w:r>
      <w:r w:rsidRPr="00F91976">
        <w:rPr>
          <w:rFonts w:cs="Arial"/>
          <w:b/>
          <w:i/>
          <w:sz w:val="22"/>
          <w:szCs w:val="22"/>
        </w:rPr>
        <w:t xml:space="preserve"> (mnkr)</w:t>
      </w:r>
    </w:p>
    <w:p w14:paraId="7C999992" w14:textId="3E6C4182" w:rsidR="003B3719" w:rsidRPr="00372989" w:rsidRDefault="003B3719" w:rsidP="003B3719">
      <w:pPr>
        <w:spacing w:after="0"/>
        <w:jc w:val="both"/>
        <w:rPr>
          <w:rFonts w:cs="Arial"/>
          <w:sz w:val="22"/>
          <w:szCs w:val="22"/>
          <w:highlight w:val="yellow"/>
        </w:rPr>
      </w:pPr>
      <w:r>
        <w:rPr>
          <w:sz w:val="22"/>
          <w:szCs w:val="22"/>
        </w:rPr>
        <w:t xml:space="preserve">Anslaget </w:t>
      </w:r>
      <w:r w:rsidR="00A65C1C">
        <w:rPr>
          <w:sz w:val="22"/>
          <w:szCs w:val="22"/>
        </w:rPr>
        <w:t xml:space="preserve">för grundutbildning </w:t>
      </w:r>
      <w:bookmarkStart w:id="0" w:name="_GoBack"/>
      <w:bookmarkEnd w:id="0"/>
      <w:r>
        <w:rPr>
          <w:sz w:val="22"/>
          <w:szCs w:val="22"/>
        </w:rPr>
        <w:t xml:space="preserve">föreslås öka med 7,0 mnkr år 2016 med anledning av att medel för utbildning i miljövetenskap som är förlagd i Kiruna överförs från anslaget </w:t>
      </w:r>
      <w:r w:rsidRPr="00530338">
        <w:rPr>
          <w:i/>
          <w:sz w:val="22"/>
          <w:szCs w:val="22"/>
        </w:rPr>
        <w:t>2:65 Särskilda medel till universitet och högskolor.</w:t>
      </w:r>
      <w:r>
        <w:rPr>
          <w:sz w:val="22"/>
          <w:szCs w:val="22"/>
        </w:rPr>
        <w:t xml:space="preserve"> </w:t>
      </w:r>
      <w:r>
        <w:rPr>
          <w:rFonts w:cs="Arial"/>
          <w:sz w:val="22"/>
          <w:szCs w:val="22"/>
        </w:rPr>
        <w:t xml:space="preserve"> </w:t>
      </w:r>
      <w:r w:rsidRPr="00372989">
        <w:rPr>
          <w:rFonts w:cs="Arial"/>
          <w:sz w:val="22"/>
          <w:szCs w:val="22"/>
          <w:highlight w:val="yellow"/>
        </w:rPr>
        <w:t xml:space="preserve"> </w:t>
      </w:r>
    </w:p>
    <w:p w14:paraId="2BA57EEF" w14:textId="77777777" w:rsidR="003B3719" w:rsidRPr="00F91976" w:rsidRDefault="003B3719" w:rsidP="003B3719">
      <w:pPr>
        <w:spacing w:after="0"/>
        <w:jc w:val="both"/>
        <w:rPr>
          <w:rFonts w:cs="Arial"/>
          <w:sz w:val="20"/>
          <w:szCs w:val="20"/>
        </w:rPr>
      </w:pPr>
      <w:r w:rsidRPr="00372989">
        <w:rPr>
          <w:rFonts w:cs="Arial"/>
          <w:sz w:val="22"/>
          <w:szCs w:val="22"/>
          <w:highlight w:val="yello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1931"/>
        <w:gridCol w:w="2203"/>
        <w:gridCol w:w="2029"/>
      </w:tblGrid>
      <w:tr w:rsidR="003B3719" w:rsidRPr="00F91976" w14:paraId="397B1CEB" w14:textId="77777777" w:rsidTr="00F80217">
        <w:tc>
          <w:tcPr>
            <w:tcW w:w="2943" w:type="dxa"/>
            <w:shd w:val="clear" w:color="auto" w:fill="EEECE1" w:themeFill="background2"/>
          </w:tcPr>
          <w:p w14:paraId="07036B46" w14:textId="77777777" w:rsidR="003B3719" w:rsidRPr="00F91976" w:rsidRDefault="003B3719" w:rsidP="00F80217">
            <w:pPr>
              <w:spacing w:after="0"/>
              <w:jc w:val="both"/>
              <w:rPr>
                <w:rFonts w:cs="Arial"/>
                <w:sz w:val="22"/>
                <w:szCs w:val="22"/>
              </w:rPr>
            </w:pPr>
          </w:p>
        </w:tc>
        <w:tc>
          <w:tcPr>
            <w:tcW w:w="1985" w:type="dxa"/>
            <w:shd w:val="clear" w:color="auto" w:fill="EEECE1" w:themeFill="background2"/>
          </w:tcPr>
          <w:p w14:paraId="293704BE" w14:textId="77777777" w:rsidR="003B3719" w:rsidRPr="00F91976" w:rsidRDefault="003B3719" w:rsidP="00F80217">
            <w:pPr>
              <w:spacing w:after="0"/>
              <w:jc w:val="both"/>
              <w:rPr>
                <w:rFonts w:cs="Arial"/>
                <w:sz w:val="22"/>
                <w:szCs w:val="22"/>
              </w:rPr>
            </w:pPr>
            <w:r w:rsidRPr="00F91976">
              <w:rPr>
                <w:rFonts w:cs="Arial"/>
                <w:sz w:val="22"/>
                <w:szCs w:val="22"/>
              </w:rPr>
              <w:t>Riket</w:t>
            </w:r>
          </w:p>
        </w:tc>
        <w:tc>
          <w:tcPr>
            <w:tcW w:w="2268" w:type="dxa"/>
            <w:shd w:val="clear" w:color="auto" w:fill="EEECE1" w:themeFill="background2"/>
          </w:tcPr>
          <w:p w14:paraId="3EBDBC39" w14:textId="77777777" w:rsidR="003B3719" w:rsidRPr="00F91976" w:rsidRDefault="003B3719" w:rsidP="00F80217">
            <w:pPr>
              <w:spacing w:after="0"/>
              <w:jc w:val="both"/>
              <w:rPr>
                <w:rFonts w:cs="Arial"/>
                <w:sz w:val="22"/>
                <w:szCs w:val="22"/>
              </w:rPr>
            </w:pPr>
            <w:r w:rsidRPr="00F91976">
              <w:rPr>
                <w:rFonts w:cs="Arial"/>
                <w:sz w:val="22"/>
                <w:szCs w:val="22"/>
              </w:rPr>
              <w:t>UmU</w:t>
            </w:r>
          </w:p>
        </w:tc>
        <w:tc>
          <w:tcPr>
            <w:tcW w:w="2084" w:type="dxa"/>
            <w:shd w:val="clear" w:color="auto" w:fill="EEECE1" w:themeFill="background2"/>
          </w:tcPr>
          <w:p w14:paraId="0FEAB053" w14:textId="77777777" w:rsidR="003B3719" w:rsidRPr="00F91976" w:rsidRDefault="003B3719" w:rsidP="00F80217">
            <w:pPr>
              <w:spacing w:after="0"/>
              <w:jc w:val="both"/>
              <w:rPr>
                <w:rFonts w:cs="Arial"/>
                <w:sz w:val="22"/>
                <w:szCs w:val="22"/>
              </w:rPr>
            </w:pPr>
            <w:r w:rsidRPr="00F91976">
              <w:rPr>
                <w:rFonts w:cs="Arial"/>
                <w:sz w:val="22"/>
                <w:szCs w:val="22"/>
              </w:rPr>
              <w:t>Andel UmU</w:t>
            </w:r>
          </w:p>
        </w:tc>
      </w:tr>
      <w:tr w:rsidR="003B3719" w:rsidRPr="00F91976" w14:paraId="40ADC587" w14:textId="77777777" w:rsidTr="00F80217">
        <w:tc>
          <w:tcPr>
            <w:tcW w:w="2943" w:type="dxa"/>
          </w:tcPr>
          <w:p w14:paraId="43114920" w14:textId="77777777" w:rsidR="003B3719" w:rsidRPr="00F91976" w:rsidRDefault="003B3719" w:rsidP="00F80217">
            <w:pPr>
              <w:spacing w:after="0"/>
              <w:jc w:val="both"/>
              <w:rPr>
                <w:rFonts w:cs="Arial"/>
                <w:sz w:val="22"/>
                <w:szCs w:val="22"/>
              </w:rPr>
            </w:pPr>
            <w:r w:rsidRPr="00F91976">
              <w:rPr>
                <w:rFonts w:cs="Arial"/>
                <w:sz w:val="22"/>
                <w:szCs w:val="22"/>
              </w:rPr>
              <w:t>Anslags</w:t>
            </w:r>
            <w:r>
              <w:rPr>
                <w:rFonts w:cs="Arial"/>
                <w:sz w:val="22"/>
                <w:szCs w:val="22"/>
              </w:rPr>
              <w:t>sökning</w:t>
            </w:r>
            <w:r w:rsidRPr="00F91976">
              <w:rPr>
                <w:rFonts w:cs="Arial"/>
                <w:sz w:val="22"/>
                <w:szCs w:val="22"/>
              </w:rPr>
              <w:t xml:space="preserve"> 201</w:t>
            </w:r>
            <w:r>
              <w:rPr>
                <w:rFonts w:cs="Arial"/>
                <w:sz w:val="22"/>
                <w:szCs w:val="22"/>
              </w:rPr>
              <w:t>6</w:t>
            </w:r>
          </w:p>
        </w:tc>
        <w:tc>
          <w:tcPr>
            <w:tcW w:w="1985" w:type="dxa"/>
          </w:tcPr>
          <w:p w14:paraId="092F1DBB" w14:textId="77777777" w:rsidR="003B3719" w:rsidRPr="00F91976" w:rsidRDefault="003B3719" w:rsidP="00F80217">
            <w:pPr>
              <w:spacing w:after="0"/>
              <w:jc w:val="both"/>
              <w:rPr>
                <w:rFonts w:cs="Arial"/>
                <w:sz w:val="22"/>
                <w:szCs w:val="22"/>
              </w:rPr>
            </w:pPr>
            <w:r>
              <w:rPr>
                <w:rFonts w:cs="Arial"/>
                <w:sz w:val="22"/>
                <w:szCs w:val="22"/>
              </w:rPr>
              <w:t>-</w:t>
            </w:r>
          </w:p>
        </w:tc>
        <w:tc>
          <w:tcPr>
            <w:tcW w:w="2268" w:type="dxa"/>
          </w:tcPr>
          <w:p w14:paraId="6F943EE3" w14:textId="77777777" w:rsidR="003B3719" w:rsidRPr="00F91976" w:rsidRDefault="003B3719" w:rsidP="00F80217">
            <w:pPr>
              <w:spacing w:after="0"/>
              <w:jc w:val="both"/>
              <w:rPr>
                <w:rFonts w:cs="Arial"/>
                <w:sz w:val="22"/>
                <w:szCs w:val="22"/>
              </w:rPr>
            </w:pPr>
            <w:r>
              <w:rPr>
                <w:rFonts w:cs="Arial"/>
                <w:sz w:val="22"/>
                <w:szCs w:val="22"/>
              </w:rPr>
              <w:t>+7,0</w:t>
            </w:r>
          </w:p>
        </w:tc>
        <w:tc>
          <w:tcPr>
            <w:tcW w:w="2084" w:type="dxa"/>
          </w:tcPr>
          <w:p w14:paraId="253D6DE6" w14:textId="77777777" w:rsidR="003B3719" w:rsidRPr="00F91976" w:rsidRDefault="003B3719" w:rsidP="00F80217">
            <w:pPr>
              <w:spacing w:after="0"/>
              <w:jc w:val="both"/>
              <w:rPr>
                <w:rFonts w:cs="Arial"/>
                <w:sz w:val="22"/>
                <w:szCs w:val="22"/>
              </w:rPr>
            </w:pPr>
            <w:r>
              <w:rPr>
                <w:rFonts w:cs="Arial"/>
                <w:sz w:val="22"/>
                <w:szCs w:val="22"/>
              </w:rPr>
              <w:t>-</w:t>
            </w:r>
          </w:p>
        </w:tc>
      </w:tr>
    </w:tbl>
    <w:p w14:paraId="657FB5FD" w14:textId="77777777" w:rsidR="003B3719" w:rsidRPr="00372989" w:rsidRDefault="003B3719" w:rsidP="003B3719">
      <w:pPr>
        <w:spacing w:after="0"/>
        <w:jc w:val="both"/>
        <w:rPr>
          <w:rFonts w:cs="Arial"/>
          <w:b/>
          <w:i/>
          <w:sz w:val="20"/>
          <w:szCs w:val="20"/>
          <w:highlight w:val="yellow"/>
        </w:rPr>
      </w:pPr>
    </w:p>
    <w:p w14:paraId="6F75A4F7" w14:textId="77777777" w:rsidR="003B3719" w:rsidRDefault="003B3719" w:rsidP="003B3719">
      <w:pPr>
        <w:spacing w:after="0"/>
        <w:jc w:val="both"/>
        <w:rPr>
          <w:rFonts w:cs="Arial"/>
          <w:b/>
          <w:i/>
          <w:sz w:val="22"/>
          <w:szCs w:val="22"/>
        </w:rPr>
      </w:pPr>
    </w:p>
    <w:p w14:paraId="0F4693D1" w14:textId="77777777" w:rsidR="003B3719" w:rsidRPr="003C5BED" w:rsidRDefault="003B3719" w:rsidP="003B3719">
      <w:pPr>
        <w:spacing w:after="0"/>
        <w:jc w:val="both"/>
        <w:rPr>
          <w:rFonts w:cs="Arial"/>
          <w:sz w:val="22"/>
          <w:szCs w:val="22"/>
        </w:rPr>
      </w:pPr>
      <w:r w:rsidRPr="003C5BED">
        <w:rPr>
          <w:rFonts w:cs="Arial"/>
          <w:b/>
          <w:i/>
          <w:sz w:val="22"/>
          <w:szCs w:val="22"/>
        </w:rPr>
        <w:t>Läkar- och tandläkarutbildningar</w:t>
      </w:r>
      <w:r>
        <w:rPr>
          <w:rFonts w:cs="Arial"/>
          <w:b/>
          <w:i/>
          <w:sz w:val="22"/>
          <w:szCs w:val="22"/>
        </w:rPr>
        <w:t xml:space="preserve"> (mnkr)</w:t>
      </w:r>
    </w:p>
    <w:p w14:paraId="21A1649C" w14:textId="77777777" w:rsidR="003B3719" w:rsidRPr="003C5BED" w:rsidRDefault="003B3719" w:rsidP="003B3719">
      <w:pPr>
        <w:spacing w:after="0"/>
        <w:jc w:val="both"/>
        <w:rPr>
          <w:rFonts w:cs="Arial"/>
          <w:sz w:val="22"/>
          <w:szCs w:val="22"/>
        </w:rPr>
      </w:pPr>
      <w:r>
        <w:rPr>
          <w:rFonts w:cs="Arial"/>
          <w:sz w:val="22"/>
          <w:szCs w:val="22"/>
        </w:rPr>
        <w:t>Med anledning av den utbyggnad av läkarutbildningen som inleddes år 2012 och utbyggnaden av tandläkarutbildningen som inleddes 2013, får U</w:t>
      </w:r>
      <w:r w:rsidRPr="003C5BED">
        <w:rPr>
          <w:rFonts w:cs="Arial"/>
          <w:sz w:val="22"/>
          <w:szCs w:val="22"/>
        </w:rPr>
        <w:t>meå universitet nedanstående anslagsförändringar</w:t>
      </w:r>
      <w:r>
        <w:rPr>
          <w:rFonts w:cs="Arial"/>
          <w:sz w:val="22"/>
          <w:szCs w:val="22"/>
        </w:rPr>
        <w:t xml:space="preserve"> år 2016</w:t>
      </w:r>
      <w:r w:rsidRPr="003C5BED">
        <w:rPr>
          <w:rFonts w:cs="Arial"/>
          <w:sz w:val="22"/>
          <w:szCs w:val="22"/>
        </w:rPr>
        <w:t xml:space="preserve">. </w:t>
      </w:r>
    </w:p>
    <w:p w14:paraId="479D8A8A" w14:textId="77777777" w:rsidR="003B3719" w:rsidRPr="00372989" w:rsidRDefault="003B3719" w:rsidP="003B3719">
      <w:pPr>
        <w:spacing w:after="0"/>
        <w:jc w:val="both"/>
        <w:rPr>
          <w:b/>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1973"/>
        <w:gridCol w:w="2190"/>
        <w:gridCol w:w="2016"/>
      </w:tblGrid>
      <w:tr w:rsidR="003B3719" w:rsidRPr="003C5BED" w14:paraId="0531B68B" w14:textId="77777777" w:rsidTr="00F80217">
        <w:tc>
          <w:tcPr>
            <w:tcW w:w="2943" w:type="dxa"/>
            <w:shd w:val="clear" w:color="auto" w:fill="EEECE1" w:themeFill="background2"/>
          </w:tcPr>
          <w:p w14:paraId="01D8B01F" w14:textId="77777777" w:rsidR="003B3719" w:rsidRPr="003C5BED" w:rsidRDefault="003B3719" w:rsidP="00F80217">
            <w:pPr>
              <w:spacing w:after="0"/>
              <w:jc w:val="both"/>
              <w:rPr>
                <w:rFonts w:cs="Arial"/>
                <w:sz w:val="22"/>
                <w:szCs w:val="22"/>
              </w:rPr>
            </w:pPr>
            <w:r w:rsidRPr="003C5BED">
              <w:rPr>
                <w:rFonts w:cs="Arial"/>
                <w:sz w:val="22"/>
                <w:szCs w:val="22"/>
              </w:rPr>
              <w:t>Läkarplatser</w:t>
            </w:r>
          </w:p>
        </w:tc>
        <w:tc>
          <w:tcPr>
            <w:tcW w:w="1985" w:type="dxa"/>
            <w:shd w:val="clear" w:color="auto" w:fill="EEECE1" w:themeFill="background2"/>
          </w:tcPr>
          <w:p w14:paraId="70E93C86" w14:textId="77777777" w:rsidR="003B3719" w:rsidRPr="003C5BED" w:rsidRDefault="003B3719" w:rsidP="00F80217">
            <w:pPr>
              <w:spacing w:after="0"/>
              <w:jc w:val="both"/>
              <w:rPr>
                <w:rFonts w:cs="Arial"/>
                <w:sz w:val="22"/>
                <w:szCs w:val="22"/>
              </w:rPr>
            </w:pPr>
            <w:r w:rsidRPr="003C5BED">
              <w:rPr>
                <w:rFonts w:cs="Arial"/>
                <w:sz w:val="22"/>
                <w:szCs w:val="22"/>
              </w:rPr>
              <w:t>Riket</w:t>
            </w:r>
          </w:p>
        </w:tc>
        <w:tc>
          <w:tcPr>
            <w:tcW w:w="2268" w:type="dxa"/>
            <w:shd w:val="clear" w:color="auto" w:fill="EEECE1" w:themeFill="background2"/>
          </w:tcPr>
          <w:p w14:paraId="3EC3C16A" w14:textId="77777777" w:rsidR="003B3719" w:rsidRPr="003C5BED" w:rsidRDefault="003B3719" w:rsidP="00F80217">
            <w:pPr>
              <w:spacing w:after="0"/>
              <w:jc w:val="both"/>
              <w:rPr>
                <w:rFonts w:cs="Arial"/>
                <w:sz w:val="22"/>
                <w:szCs w:val="22"/>
              </w:rPr>
            </w:pPr>
            <w:r w:rsidRPr="003C5BED">
              <w:rPr>
                <w:rFonts w:cs="Arial"/>
                <w:sz w:val="22"/>
                <w:szCs w:val="22"/>
              </w:rPr>
              <w:t>UmU</w:t>
            </w:r>
          </w:p>
        </w:tc>
        <w:tc>
          <w:tcPr>
            <w:tcW w:w="2084" w:type="dxa"/>
            <w:shd w:val="clear" w:color="auto" w:fill="EEECE1" w:themeFill="background2"/>
          </w:tcPr>
          <w:p w14:paraId="76DFDD17" w14:textId="77777777" w:rsidR="003B3719" w:rsidRPr="003C5BED" w:rsidRDefault="003B3719" w:rsidP="00F80217">
            <w:pPr>
              <w:spacing w:after="0"/>
              <w:jc w:val="both"/>
              <w:rPr>
                <w:rFonts w:cs="Arial"/>
                <w:sz w:val="22"/>
                <w:szCs w:val="22"/>
              </w:rPr>
            </w:pPr>
            <w:r w:rsidRPr="003C5BED">
              <w:rPr>
                <w:rFonts w:cs="Arial"/>
                <w:sz w:val="22"/>
                <w:szCs w:val="22"/>
              </w:rPr>
              <w:t>Andel UmU</w:t>
            </w:r>
          </w:p>
        </w:tc>
      </w:tr>
      <w:tr w:rsidR="003B3719" w:rsidRPr="003C5BED" w14:paraId="0994F989" w14:textId="77777777" w:rsidTr="00F80217">
        <w:tc>
          <w:tcPr>
            <w:tcW w:w="2943" w:type="dxa"/>
          </w:tcPr>
          <w:p w14:paraId="5F349749" w14:textId="77777777" w:rsidR="003B3719" w:rsidRPr="003C5BED" w:rsidRDefault="003B3719" w:rsidP="00F80217">
            <w:pPr>
              <w:spacing w:after="0"/>
              <w:jc w:val="both"/>
              <w:rPr>
                <w:rFonts w:cs="Arial"/>
                <w:sz w:val="22"/>
                <w:szCs w:val="22"/>
              </w:rPr>
            </w:pPr>
            <w:r w:rsidRPr="003C5BED">
              <w:rPr>
                <w:rFonts w:cs="Arial"/>
                <w:sz w:val="22"/>
                <w:szCs w:val="22"/>
              </w:rPr>
              <w:t>Anslagsökning 201</w:t>
            </w:r>
            <w:r>
              <w:rPr>
                <w:rFonts w:cs="Arial"/>
                <w:sz w:val="22"/>
                <w:szCs w:val="22"/>
              </w:rPr>
              <w:t>6</w:t>
            </w:r>
          </w:p>
        </w:tc>
        <w:tc>
          <w:tcPr>
            <w:tcW w:w="1985" w:type="dxa"/>
          </w:tcPr>
          <w:p w14:paraId="7F9CAC79" w14:textId="77777777" w:rsidR="003B3719" w:rsidRPr="003C5BED" w:rsidRDefault="003B3719" w:rsidP="00F80217">
            <w:pPr>
              <w:spacing w:after="0"/>
              <w:jc w:val="both"/>
              <w:rPr>
                <w:rFonts w:cs="Arial"/>
                <w:sz w:val="22"/>
                <w:szCs w:val="22"/>
              </w:rPr>
            </w:pPr>
            <w:r w:rsidRPr="003C5BED">
              <w:rPr>
                <w:rFonts w:cs="Arial"/>
                <w:sz w:val="22"/>
                <w:szCs w:val="22"/>
              </w:rPr>
              <w:t>0 (Omfördelning)</w:t>
            </w:r>
          </w:p>
        </w:tc>
        <w:tc>
          <w:tcPr>
            <w:tcW w:w="2268" w:type="dxa"/>
          </w:tcPr>
          <w:p w14:paraId="38919FCF" w14:textId="77777777" w:rsidR="003B3719" w:rsidRPr="003C5BED" w:rsidRDefault="003B3719" w:rsidP="00F80217">
            <w:pPr>
              <w:spacing w:after="0"/>
              <w:jc w:val="both"/>
              <w:rPr>
                <w:rFonts w:cs="Arial"/>
                <w:sz w:val="22"/>
                <w:szCs w:val="22"/>
              </w:rPr>
            </w:pPr>
            <w:r>
              <w:rPr>
                <w:rFonts w:cs="Arial"/>
                <w:sz w:val="22"/>
                <w:szCs w:val="22"/>
              </w:rPr>
              <w:t>+1,38</w:t>
            </w:r>
          </w:p>
        </w:tc>
        <w:tc>
          <w:tcPr>
            <w:tcW w:w="2084" w:type="dxa"/>
          </w:tcPr>
          <w:p w14:paraId="45AC99CC" w14:textId="77777777" w:rsidR="003B3719" w:rsidRPr="003C5BED" w:rsidRDefault="003B3719" w:rsidP="00F80217">
            <w:pPr>
              <w:spacing w:after="0"/>
              <w:jc w:val="both"/>
              <w:rPr>
                <w:rFonts w:cs="Arial"/>
                <w:sz w:val="22"/>
                <w:szCs w:val="22"/>
              </w:rPr>
            </w:pPr>
            <w:r w:rsidRPr="003C5BED">
              <w:rPr>
                <w:rFonts w:cs="Arial"/>
                <w:sz w:val="22"/>
                <w:szCs w:val="22"/>
              </w:rPr>
              <w:t>-</w:t>
            </w:r>
          </w:p>
        </w:tc>
      </w:tr>
    </w:tbl>
    <w:p w14:paraId="3335A8C1" w14:textId="77777777" w:rsidR="003B3719" w:rsidRDefault="003B3719" w:rsidP="003B3719">
      <w:pPr>
        <w:spacing w:after="0"/>
        <w:jc w:val="both"/>
        <w:rPr>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5"/>
        <w:gridCol w:w="1972"/>
        <w:gridCol w:w="2184"/>
        <w:gridCol w:w="2013"/>
      </w:tblGrid>
      <w:tr w:rsidR="003B3719" w:rsidRPr="003C5BED" w14:paraId="355E40B0" w14:textId="77777777" w:rsidTr="00F80217">
        <w:tc>
          <w:tcPr>
            <w:tcW w:w="2943" w:type="dxa"/>
            <w:shd w:val="clear" w:color="auto" w:fill="EEECE1" w:themeFill="background2"/>
          </w:tcPr>
          <w:p w14:paraId="2C97BF7E" w14:textId="77777777" w:rsidR="003B3719" w:rsidRPr="003C5BED" w:rsidRDefault="003B3719" w:rsidP="00F80217">
            <w:pPr>
              <w:spacing w:after="0"/>
              <w:jc w:val="both"/>
              <w:rPr>
                <w:rFonts w:cs="Arial"/>
                <w:sz w:val="22"/>
                <w:szCs w:val="22"/>
              </w:rPr>
            </w:pPr>
            <w:r>
              <w:rPr>
                <w:rFonts w:cs="Arial"/>
                <w:sz w:val="22"/>
                <w:szCs w:val="22"/>
              </w:rPr>
              <w:t>Tandlä</w:t>
            </w:r>
            <w:r w:rsidRPr="003C5BED">
              <w:rPr>
                <w:rFonts w:cs="Arial"/>
                <w:sz w:val="22"/>
                <w:szCs w:val="22"/>
              </w:rPr>
              <w:t>karplatser</w:t>
            </w:r>
          </w:p>
        </w:tc>
        <w:tc>
          <w:tcPr>
            <w:tcW w:w="1985" w:type="dxa"/>
            <w:shd w:val="clear" w:color="auto" w:fill="EEECE1" w:themeFill="background2"/>
          </w:tcPr>
          <w:p w14:paraId="549A1445" w14:textId="77777777" w:rsidR="003B3719" w:rsidRPr="003C5BED" w:rsidRDefault="003B3719" w:rsidP="00F80217">
            <w:pPr>
              <w:spacing w:after="0"/>
              <w:jc w:val="both"/>
              <w:rPr>
                <w:rFonts w:cs="Arial"/>
                <w:sz w:val="22"/>
                <w:szCs w:val="22"/>
              </w:rPr>
            </w:pPr>
            <w:r w:rsidRPr="003C5BED">
              <w:rPr>
                <w:rFonts w:cs="Arial"/>
                <w:sz w:val="22"/>
                <w:szCs w:val="22"/>
              </w:rPr>
              <w:t>Riket</w:t>
            </w:r>
          </w:p>
        </w:tc>
        <w:tc>
          <w:tcPr>
            <w:tcW w:w="2268" w:type="dxa"/>
            <w:shd w:val="clear" w:color="auto" w:fill="EEECE1" w:themeFill="background2"/>
          </w:tcPr>
          <w:p w14:paraId="3608908E" w14:textId="77777777" w:rsidR="003B3719" w:rsidRPr="003C5BED" w:rsidRDefault="003B3719" w:rsidP="00F80217">
            <w:pPr>
              <w:spacing w:after="0"/>
              <w:jc w:val="both"/>
              <w:rPr>
                <w:rFonts w:cs="Arial"/>
                <w:sz w:val="22"/>
                <w:szCs w:val="22"/>
              </w:rPr>
            </w:pPr>
            <w:r w:rsidRPr="003C5BED">
              <w:rPr>
                <w:rFonts w:cs="Arial"/>
                <w:sz w:val="22"/>
                <w:szCs w:val="22"/>
              </w:rPr>
              <w:t>UmU</w:t>
            </w:r>
          </w:p>
        </w:tc>
        <w:tc>
          <w:tcPr>
            <w:tcW w:w="2084" w:type="dxa"/>
            <w:shd w:val="clear" w:color="auto" w:fill="EEECE1" w:themeFill="background2"/>
          </w:tcPr>
          <w:p w14:paraId="019E6A3C" w14:textId="77777777" w:rsidR="003B3719" w:rsidRPr="003C5BED" w:rsidRDefault="003B3719" w:rsidP="00F80217">
            <w:pPr>
              <w:spacing w:after="0"/>
              <w:jc w:val="both"/>
              <w:rPr>
                <w:rFonts w:cs="Arial"/>
                <w:sz w:val="22"/>
                <w:szCs w:val="22"/>
              </w:rPr>
            </w:pPr>
            <w:r w:rsidRPr="003C5BED">
              <w:rPr>
                <w:rFonts w:cs="Arial"/>
                <w:sz w:val="22"/>
                <w:szCs w:val="22"/>
              </w:rPr>
              <w:t>Andel UmU</w:t>
            </w:r>
          </w:p>
        </w:tc>
      </w:tr>
      <w:tr w:rsidR="003B3719" w:rsidRPr="003C5BED" w14:paraId="23B30023" w14:textId="77777777" w:rsidTr="00F80217">
        <w:tc>
          <w:tcPr>
            <w:tcW w:w="2943" w:type="dxa"/>
          </w:tcPr>
          <w:p w14:paraId="7BE45EF3" w14:textId="77777777" w:rsidR="003B3719" w:rsidRPr="003C5BED" w:rsidRDefault="003B3719" w:rsidP="00F80217">
            <w:pPr>
              <w:spacing w:after="0"/>
              <w:jc w:val="both"/>
              <w:rPr>
                <w:rFonts w:cs="Arial"/>
                <w:sz w:val="22"/>
                <w:szCs w:val="22"/>
              </w:rPr>
            </w:pPr>
            <w:r w:rsidRPr="003C5BED">
              <w:rPr>
                <w:rFonts w:cs="Arial"/>
                <w:sz w:val="22"/>
                <w:szCs w:val="22"/>
              </w:rPr>
              <w:t>Anslagsökning 201</w:t>
            </w:r>
            <w:r>
              <w:rPr>
                <w:rFonts w:cs="Arial"/>
                <w:sz w:val="22"/>
                <w:szCs w:val="22"/>
              </w:rPr>
              <w:t>6</w:t>
            </w:r>
          </w:p>
        </w:tc>
        <w:tc>
          <w:tcPr>
            <w:tcW w:w="1985" w:type="dxa"/>
          </w:tcPr>
          <w:p w14:paraId="031B92C5" w14:textId="77777777" w:rsidR="003B3719" w:rsidRPr="003C5BED" w:rsidRDefault="003B3719" w:rsidP="00F80217">
            <w:pPr>
              <w:spacing w:after="0"/>
              <w:jc w:val="both"/>
              <w:rPr>
                <w:rFonts w:cs="Arial"/>
                <w:sz w:val="22"/>
                <w:szCs w:val="22"/>
              </w:rPr>
            </w:pPr>
            <w:r w:rsidRPr="003C5BED">
              <w:rPr>
                <w:rFonts w:cs="Arial"/>
                <w:sz w:val="22"/>
                <w:szCs w:val="22"/>
              </w:rPr>
              <w:t>0 (Omfördelning)</w:t>
            </w:r>
          </w:p>
        </w:tc>
        <w:tc>
          <w:tcPr>
            <w:tcW w:w="2268" w:type="dxa"/>
          </w:tcPr>
          <w:p w14:paraId="53DA3C73" w14:textId="77777777" w:rsidR="003B3719" w:rsidRPr="003C5BED" w:rsidRDefault="003B3719" w:rsidP="00F80217">
            <w:pPr>
              <w:spacing w:after="0"/>
              <w:jc w:val="both"/>
              <w:rPr>
                <w:rFonts w:cs="Arial"/>
                <w:sz w:val="22"/>
                <w:szCs w:val="22"/>
              </w:rPr>
            </w:pPr>
            <w:r>
              <w:rPr>
                <w:rFonts w:cs="Arial"/>
                <w:sz w:val="22"/>
                <w:szCs w:val="22"/>
              </w:rPr>
              <w:t>+1,19</w:t>
            </w:r>
            <w:r w:rsidRPr="003C5BED">
              <w:rPr>
                <w:rFonts w:cs="Arial"/>
                <w:sz w:val="22"/>
                <w:szCs w:val="22"/>
              </w:rPr>
              <w:t xml:space="preserve"> </w:t>
            </w:r>
          </w:p>
        </w:tc>
        <w:tc>
          <w:tcPr>
            <w:tcW w:w="2084" w:type="dxa"/>
          </w:tcPr>
          <w:p w14:paraId="764DDA0C" w14:textId="77777777" w:rsidR="003B3719" w:rsidRPr="003C5BED" w:rsidRDefault="003B3719" w:rsidP="00F80217">
            <w:pPr>
              <w:spacing w:after="0"/>
              <w:jc w:val="both"/>
              <w:rPr>
                <w:rFonts w:cs="Arial"/>
                <w:sz w:val="22"/>
                <w:szCs w:val="22"/>
              </w:rPr>
            </w:pPr>
            <w:r w:rsidRPr="003C5BED">
              <w:rPr>
                <w:rFonts w:cs="Arial"/>
                <w:sz w:val="22"/>
                <w:szCs w:val="22"/>
              </w:rPr>
              <w:t>-</w:t>
            </w:r>
          </w:p>
        </w:tc>
      </w:tr>
    </w:tbl>
    <w:p w14:paraId="4C856BA4" w14:textId="77777777" w:rsidR="003B3719" w:rsidRPr="003C5BED" w:rsidRDefault="003B3719" w:rsidP="003B3719">
      <w:pPr>
        <w:spacing w:after="0"/>
        <w:jc w:val="both"/>
        <w:rPr>
          <w:b/>
          <w:sz w:val="12"/>
          <w:szCs w:val="1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2155"/>
        <w:gridCol w:w="1984"/>
      </w:tblGrid>
      <w:tr w:rsidR="003B3719" w:rsidRPr="003C5BED" w14:paraId="04798E7A" w14:textId="77777777" w:rsidTr="00F80217">
        <w:tc>
          <w:tcPr>
            <w:tcW w:w="2943" w:type="dxa"/>
            <w:shd w:val="clear" w:color="auto" w:fill="EEECE1" w:themeFill="background2"/>
          </w:tcPr>
          <w:p w14:paraId="357F48AC" w14:textId="77777777" w:rsidR="003B3719" w:rsidRPr="003C5BED" w:rsidRDefault="003B3719" w:rsidP="00F80217">
            <w:pPr>
              <w:spacing w:after="0"/>
              <w:rPr>
                <w:rFonts w:cs="Arial"/>
                <w:sz w:val="22"/>
                <w:szCs w:val="22"/>
              </w:rPr>
            </w:pPr>
            <w:r w:rsidRPr="003C5BED">
              <w:rPr>
                <w:rFonts w:cs="Arial"/>
                <w:sz w:val="22"/>
                <w:szCs w:val="22"/>
              </w:rPr>
              <w:t>Läkar- och tandläkarplatser</w:t>
            </w:r>
          </w:p>
        </w:tc>
        <w:tc>
          <w:tcPr>
            <w:tcW w:w="1985" w:type="dxa"/>
            <w:shd w:val="clear" w:color="auto" w:fill="EEECE1" w:themeFill="background2"/>
          </w:tcPr>
          <w:p w14:paraId="6F13BD02" w14:textId="77777777" w:rsidR="003B3719" w:rsidRPr="003C5BED" w:rsidRDefault="003B3719" w:rsidP="00F80217">
            <w:pPr>
              <w:spacing w:after="0"/>
              <w:jc w:val="both"/>
              <w:rPr>
                <w:rFonts w:cs="Arial"/>
                <w:sz w:val="22"/>
                <w:szCs w:val="22"/>
              </w:rPr>
            </w:pPr>
            <w:r w:rsidRPr="003C5BED">
              <w:rPr>
                <w:rFonts w:cs="Arial"/>
                <w:sz w:val="22"/>
                <w:szCs w:val="22"/>
              </w:rPr>
              <w:t>Riket</w:t>
            </w:r>
          </w:p>
        </w:tc>
        <w:tc>
          <w:tcPr>
            <w:tcW w:w="2155" w:type="dxa"/>
            <w:shd w:val="clear" w:color="auto" w:fill="EEECE1" w:themeFill="background2"/>
          </w:tcPr>
          <w:p w14:paraId="6346DD5A" w14:textId="77777777" w:rsidR="003B3719" w:rsidRPr="003C5BED" w:rsidRDefault="003B3719" w:rsidP="00F80217">
            <w:pPr>
              <w:spacing w:after="0"/>
              <w:jc w:val="both"/>
              <w:rPr>
                <w:rFonts w:cs="Arial"/>
                <w:sz w:val="22"/>
                <w:szCs w:val="22"/>
              </w:rPr>
            </w:pPr>
            <w:r w:rsidRPr="003C5BED">
              <w:rPr>
                <w:rFonts w:cs="Arial"/>
                <w:sz w:val="22"/>
                <w:szCs w:val="22"/>
              </w:rPr>
              <w:t>UmU</w:t>
            </w:r>
          </w:p>
        </w:tc>
        <w:tc>
          <w:tcPr>
            <w:tcW w:w="1984" w:type="dxa"/>
            <w:shd w:val="clear" w:color="auto" w:fill="EEECE1" w:themeFill="background2"/>
          </w:tcPr>
          <w:p w14:paraId="30A6A7A1" w14:textId="77777777" w:rsidR="003B3719" w:rsidRPr="003C5BED" w:rsidRDefault="003B3719" w:rsidP="00F80217">
            <w:pPr>
              <w:spacing w:after="0"/>
              <w:jc w:val="both"/>
              <w:rPr>
                <w:rFonts w:cs="Arial"/>
                <w:sz w:val="22"/>
                <w:szCs w:val="22"/>
              </w:rPr>
            </w:pPr>
            <w:r w:rsidRPr="003C5BED">
              <w:rPr>
                <w:rFonts w:cs="Arial"/>
                <w:sz w:val="22"/>
                <w:szCs w:val="22"/>
              </w:rPr>
              <w:t>Andel UmU</w:t>
            </w:r>
          </w:p>
        </w:tc>
      </w:tr>
      <w:tr w:rsidR="003B3719" w:rsidRPr="003C5BED" w14:paraId="48A5FD4E" w14:textId="77777777" w:rsidTr="00F80217">
        <w:tc>
          <w:tcPr>
            <w:tcW w:w="2943" w:type="dxa"/>
          </w:tcPr>
          <w:p w14:paraId="465BA0A2" w14:textId="77777777" w:rsidR="003B3719" w:rsidRPr="003C5BED" w:rsidRDefault="003B3719" w:rsidP="00F80217">
            <w:pPr>
              <w:spacing w:after="0"/>
              <w:jc w:val="both"/>
              <w:rPr>
                <w:rFonts w:cs="Arial"/>
                <w:sz w:val="22"/>
                <w:szCs w:val="22"/>
              </w:rPr>
            </w:pPr>
            <w:r w:rsidRPr="003C5BED">
              <w:rPr>
                <w:rFonts w:cs="Arial"/>
                <w:sz w:val="22"/>
                <w:szCs w:val="22"/>
              </w:rPr>
              <w:t>Anslagsminskning 201</w:t>
            </w:r>
            <w:r>
              <w:rPr>
                <w:rFonts w:cs="Arial"/>
                <w:sz w:val="22"/>
                <w:szCs w:val="22"/>
              </w:rPr>
              <w:t>6</w:t>
            </w:r>
          </w:p>
        </w:tc>
        <w:tc>
          <w:tcPr>
            <w:tcW w:w="1985" w:type="dxa"/>
          </w:tcPr>
          <w:p w14:paraId="442E372D" w14:textId="77777777" w:rsidR="003B3719" w:rsidRPr="003C5BED" w:rsidRDefault="003B3719" w:rsidP="00F80217">
            <w:pPr>
              <w:spacing w:after="0"/>
              <w:jc w:val="both"/>
              <w:rPr>
                <w:rFonts w:cs="Arial"/>
                <w:sz w:val="22"/>
                <w:szCs w:val="22"/>
              </w:rPr>
            </w:pPr>
            <w:r w:rsidRPr="003C5BED">
              <w:rPr>
                <w:rFonts w:cs="Arial"/>
                <w:sz w:val="22"/>
                <w:szCs w:val="22"/>
              </w:rPr>
              <w:t>0 (Omfördelning)</w:t>
            </w:r>
          </w:p>
        </w:tc>
        <w:tc>
          <w:tcPr>
            <w:tcW w:w="2155" w:type="dxa"/>
          </w:tcPr>
          <w:p w14:paraId="3C078866" w14:textId="77777777" w:rsidR="003B3719" w:rsidRPr="003C5BED" w:rsidRDefault="003B3719" w:rsidP="00F80217">
            <w:pPr>
              <w:spacing w:after="0"/>
              <w:jc w:val="both"/>
              <w:rPr>
                <w:rFonts w:cs="Arial"/>
                <w:sz w:val="22"/>
                <w:szCs w:val="22"/>
              </w:rPr>
            </w:pPr>
            <w:r w:rsidRPr="003C5BED">
              <w:rPr>
                <w:rFonts w:cs="Arial"/>
                <w:sz w:val="22"/>
                <w:szCs w:val="22"/>
              </w:rPr>
              <w:t>-</w:t>
            </w:r>
            <w:r>
              <w:rPr>
                <w:rFonts w:cs="Arial"/>
                <w:sz w:val="22"/>
                <w:szCs w:val="22"/>
              </w:rPr>
              <w:t>1,14</w:t>
            </w:r>
          </w:p>
        </w:tc>
        <w:tc>
          <w:tcPr>
            <w:tcW w:w="1984" w:type="dxa"/>
          </w:tcPr>
          <w:p w14:paraId="08087CBC" w14:textId="77777777" w:rsidR="003B3719" w:rsidRPr="003C5BED" w:rsidRDefault="003B3719" w:rsidP="00F80217">
            <w:pPr>
              <w:spacing w:after="0"/>
              <w:jc w:val="both"/>
              <w:rPr>
                <w:rFonts w:cs="Arial"/>
                <w:sz w:val="22"/>
                <w:szCs w:val="22"/>
              </w:rPr>
            </w:pPr>
            <w:r w:rsidRPr="003C5BED">
              <w:rPr>
                <w:rFonts w:cs="Arial"/>
                <w:sz w:val="22"/>
                <w:szCs w:val="22"/>
              </w:rPr>
              <w:t>-</w:t>
            </w:r>
          </w:p>
        </w:tc>
      </w:tr>
    </w:tbl>
    <w:p w14:paraId="22F37E57" w14:textId="77777777" w:rsidR="003B3719" w:rsidRDefault="003B3719" w:rsidP="003B3719">
      <w:pPr>
        <w:spacing w:after="0"/>
        <w:jc w:val="both"/>
        <w:rPr>
          <w:b/>
        </w:rPr>
      </w:pPr>
    </w:p>
    <w:p w14:paraId="40EC2F91" w14:textId="77777777" w:rsidR="00E00B8E" w:rsidRPr="003C5BED" w:rsidRDefault="00E00B8E" w:rsidP="003B3719">
      <w:pPr>
        <w:spacing w:after="0"/>
        <w:jc w:val="both"/>
        <w:rPr>
          <w:b/>
        </w:rPr>
      </w:pPr>
    </w:p>
    <w:p w14:paraId="7242A3BF" w14:textId="77777777" w:rsidR="003B3719" w:rsidRPr="005A7829" w:rsidRDefault="003B3719" w:rsidP="003B3719">
      <w:pPr>
        <w:spacing w:after="0"/>
        <w:jc w:val="both"/>
        <w:rPr>
          <w:rFonts w:cs="Arial"/>
          <w:sz w:val="22"/>
          <w:szCs w:val="22"/>
        </w:rPr>
      </w:pPr>
      <w:r w:rsidRPr="005A7829">
        <w:rPr>
          <w:rFonts w:cs="Arial"/>
          <w:b/>
          <w:i/>
          <w:sz w:val="22"/>
          <w:szCs w:val="22"/>
        </w:rPr>
        <w:t>Ingenjörsutbildningar</w:t>
      </w:r>
      <w:r>
        <w:rPr>
          <w:rFonts w:cs="Arial"/>
          <w:b/>
          <w:i/>
          <w:sz w:val="22"/>
          <w:szCs w:val="22"/>
        </w:rPr>
        <w:t xml:space="preserve"> (mnkr)</w:t>
      </w:r>
    </w:p>
    <w:p w14:paraId="0190D5EB" w14:textId="77777777" w:rsidR="003B3719" w:rsidRPr="005A7829" w:rsidRDefault="003B3719" w:rsidP="003B3719">
      <w:pPr>
        <w:spacing w:after="0"/>
        <w:jc w:val="both"/>
        <w:rPr>
          <w:rFonts w:cs="Arial"/>
          <w:sz w:val="22"/>
          <w:szCs w:val="22"/>
        </w:rPr>
      </w:pPr>
      <w:r w:rsidRPr="005A7829">
        <w:rPr>
          <w:rFonts w:cs="Arial"/>
          <w:sz w:val="22"/>
          <w:szCs w:val="22"/>
        </w:rPr>
        <w:t xml:space="preserve">För att tillvarata de teknikintresserade sökandenas kompetens och intresse utökades medel för civil- och högskoleingenjörsutbildningarna i budgetpropositionerna för 2012 och för 2013. Utbyggnaden av dessa utbildningar fortsätter i enlighet med vad som tidigare har aviserats. </w:t>
      </w:r>
    </w:p>
    <w:p w14:paraId="2C6B51D8" w14:textId="77777777" w:rsidR="003B3719" w:rsidRPr="005A7829" w:rsidRDefault="003B3719" w:rsidP="003B3719">
      <w:pPr>
        <w:spacing w:after="0"/>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1932"/>
        <w:gridCol w:w="2204"/>
        <w:gridCol w:w="2029"/>
      </w:tblGrid>
      <w:tr w:rsidR="003B3719" w:rsidRPr="005A7829" w14:paraId="4918189A" w14:textId="77777777" w:rsidTr="00F80217">
        <w:tc>
          <w:tcPr>
            <w:tcW w:w="2943" w:type="dxa"/>
            <w:shd w:val="clear" w:color="auto" w:fill="EEECE1" w:themeFill="background2"/>
          </w:tcPr>
          <w:p w14:paraId="2C2F8B29" w14:textId="77777777" w:rsidR="003B3719" w:rsidRPr="005A7829" w:rsidRDefault="003B3719" w:rsidP="00F80217">
            <w:pPr>
              <w:spacing w:after="0"/>
              <w:jc w:val="both"/>
              <w:rPr>
                <w:rFonts w:cs="Arial"/>
                <w:sz w:val="22"/>
                <w:szCs w:val="22"/>
              </w:rPr>
            </w:pPr>
          </w:p>
        </w:tc>
        <w:tc>
          <w:tcPr>
            <w:tcW w:w="1985" w:type="dxa"/>
            <w:shd w:val="clear" w:color="auto" w:fill="EEECE1" w:themeFill="background2"/>
          </w:tcPr>
          <w:p w14:paraId="36FA7202" w14:textId="77777777" w:rsidR="003B3719" w:rsidRPr="005A7829" w:rsidRDefault="003B3719" w:rsidP="00F80217">
            <w:pPr>
              <w:spacing w:after="0"/>
              <w:jc w:val="both"/>
              <w:rPr>
                <w:rFonts w:cs="Arial"/>
                <w:sz w:val="22"/>
                <w:szCs w:val="22"/>
              </w:rPr>
            </w:pPr>
            <w:r w:rsidRPr="005A7829">
              <w:rPr>
                <w:rFonts w:cs="Arial"/>
                <w:sz w:val="22"/>
                <w:szCs w:val="22"/>
              </w:rPr>
              <w:t>Riket</w:t>
            </w:r>
          </w:p>
        </w:tc>
        <w:tc>
          <w:tcPr>
            <w:tcW w:w="2268" w:type="dxa"/>
            <w:shd w:val="clear" w:color="auto" w:fill="EEECE1" w:themeFill="background2"/>
          </w:tcPr>
          <w:p w14:paraId="40F48B35" w14:textId="77777777" w:rsidR="003B3719" w:rsidRPr="005A7829" w:rsidRDefault="003B3719" w:rsidP="00F80217">
            <w:pPr>
              <w:spacing w:after="0"/>
              <w:jc w:val="both"/>
              <w:rPr>
                <w:rFonts w:cs="Arial"/>
                <w:sz w:val="22"/>
                <w:szCs w:val="22"/>
              </w:rPr>
            </w:pPr>
            <w:r w:rsidRPr="005A7829">
              <w:rPr>
                <w:rFonts w:cs="Arial"/>
                <w:sz w:val="22"/>
                <w:szCs w:val="22"/>
              </w:rPr>
              <w:t>UmU</w:t>
            </w:r>
          </w:p>
        </w:tc>
        <w:tc>
          <w:tcPr>
            <w:tcW w:w="2084" w:type="dxa"/>
            <w:shd w:val="clear" w:color="auto" w:fill="EEECE1" w:themeFill="background2"/>
          </w:tcPr>
          <w:p w14:paraId="008D5590" w14:textId="77777777" w:rsidR="003B3719" w:rsidRPr="005A7829" w:rsidRDefault="003B3719" w:rsidP="00F80217">
            <w:pPr>
              <w:spacing w:after="0"/>
              <w:jc w:val="both"/>
              <w:rPr>
                <w:rFonts w:cs="Arial"/>
                <w:sz w:val="22"/>
                <w:szCs w:val="22"/>
              </w:rPr>
            </w:pPr>
            <w:r w:rsidRPr="005A7829">
              <w:rPr>
                <w:rFonts w:cs="Arial"/>
                <w:sz w:val="22"/>
                <w:szCs w:val="22"/>
              </w:rPr>
              <w:t>Andel UmU</w:t>
            </w:r>
          </w:p>
        </w:tc>
      </w:tr>
      <w:tr w:rsidR="003B3719" w:rsidRPr="005A7829" w14:paraId="2C4D8B3F" w14:textId="77777777" w:rsidTr="00F80217">
        <w:tc>
          <w:tcPr>
            <w:tcW w:w="2943" w:type="dxa"/>
          </w:tcPr>
          <w:p w14:paraId="3C74BAFE" w14:textId="77777777" w:rsidR="003B3719" w:rsidRPr="005A7829" w:rsidRDefault="003B3719" w:rsidP="00F80217">
            <w:pPr>
              <w:spacing w:after="0"/>
              <w:jc w:val="both"/>
              <w:rPr>
                <w:rFonts w:cs="Arial"/>
                <w:sz w:val="22"/>
                <w:szCs w:val="22"/>
              </w:rPr>
            </w:pPr>
            <w:r w:rsidRPr="005A7829">
              <w:rPr>
                <w:rFonts w:cs="Arial"/>
                <w:sz w:val="22"/>
                <w:szCs w:val="22"/>
              </w:rPr>
              <w:t>Anslagsökning 201</w:t>
            </w:r>
            <w:r>
              <w:rPr>
                <w:rFonts w:cs="Arial"/>
                <w:sz w:val="22"/>
                <w:szCs w:val="22"/>
              </w:rPr>
              <w:t>6</w:t>
            </w:r>
          </w:p>
        </w:tc>
        <w:tc>
          <w:tcPr>
            <w:tcW w:w="1985" w:type="dxa"/>
          </w:tcPr>
          <w:p w14:paraId="6536688E" w14:textId="77777777" w:rsidR="003B3719" w:rsidRPr="005A7829" w:rsidRDefault="003B3719" w:rsidP="00F80217">
            <w:pPr>
              <w:spacing w:after="0"/>
              <w:jc w:val="both"/>
              <w:rPr>
                <w:rFonts w:cs="Arial"/>
                <w:sz w:val="22"/>
                <w:szCs w:val="22"/>
              </w:rPr>
            </w:pPr>
            <w:r>
              <w:rPr>
                <w:rFonts w:cs="Arial"/>
                <w:sz w:val="22"/>
                <w:szCs w:val="22"/>
              </w:rPr>
              <w:t>-</w:t>
            </w:r>
          </w:p>
        </w:tc>
        <w:tc>
          <w:tcPr>
            <w:tcW w:w="2268" w:type="dxa"/>
            <w:shd w:val="clear" w:color="auto" w:fill="auto"/>
          </w:tcPr>
          <w:p w14:paraId="7355F7F5" w14:textId="77777777" w:rsidR="003B3719" w:rsidRPr="005A7829" w:rsidRDefault="003B3719" w:rsidP="00F80217">
            <w:pPr>
              <w:spacing w:after="0"/>
              <w:jc w:val="both"/>
              <w:rPr>
                <w:rFonts w:cs="Arial"/>
                <w:sz w:val="22"/>
                <w:szCs w:val="22"/>
              </w:rPr>
            </w:pPr>
            <w:r>
              <w:rPr>
                <w:rFonts w:cs="Arial"/>
                <w:sz w:val="22"/>
                <w:szCs w:val="22"/>
              </w:rPr>
              <w:t>+1,35</w:t>
            </w:r>
          </w:p>
        </w:tc>
        <w:tc>
          <w:tcPr>
            <w:tcW w:w="2084" w:type="dxa"/>
          </w:tcPr>
          <w:p w14:paraId="4416732E" w14:textId="77777777" w:rsidR="003B3719" w:rsidRPr="00185979" w:rsidRDefault="003B3719" w:rsidP="00F80217">
            <w:pPr>
              <w:spacing w:after="0"/>
              <w:jc w:val="both"/>
              <w:rPr>
                <w:rFonts w:cs="Arial"/>
                <w:sz w:val="22"/>
                <w:szCs w:val="22"/>
                <w:highlight w:val="yellow"/>
              </w:rPr>
            </w:pPr>
            <w:r w:rsidRPr="00E60CBB">
              <w:rPr>
                <w:rFonts w:cs="Arial"/>
                <w:sz w:val="22"/>
                <w:szCs w:val="22"/>
              </w:rPr>
              <w:t>-</w:t>
            </w:r>
          </w:p>
        </w:tc>
      </w:tr>
    </w:tbl>
    <w:p w14:paraId="35E3BA11" w14:textId="77777777" w:rsidR="003B3719" w:rsidRDefault="003B3719" w:rsidP="003B3719">
      <w:pPr>
        <w:spacing w:after="0"/>
        <w:jc w:val="both"/>
        <w:rPr>
          <w:rFonts w:cs="Arial"/>
          <w:b/>
          <w:i/>
          <w:sz w:val="22"/>
          <w:szCs w:val="22"/>
        </w:rPr>
      </w:pPr>
    </w:p>
    <w:p w14:paraId="7C65F145" w14:textId="77777777" w:rsidR="003B3719" w:rsidRPr="005A7829" w:rsidRDefault="003B3719" w:rsidP="003B3719">
      <w:pPr>
        <w:spacing w:after="0"/>
        <w:jc w:val="both"/>
        <w:rPr>
          <w:rFonts w:cs="Arial"/>
          <w:sz w:val="22"/>
          <w:szCs w:val="22"/>
        </w:rPr>
      </w:pPr>
      <w:r>
        <w:rPr>
          <w:rFonts w:cs="Arial"/>
          <w:b/>
          <w:i/>
          <w:sz w:val="22"/>
          <w:szCs w:val="22"/>
        </w:rPr>
        <w:t>Ämneslärarutbildning i meänkieli (mnkr)</w:t>
      </w:r>
    </w:p>
    <w:p w14:paraId="6DE5CEC3" w14:textId="77777777" w:rsidR="003B3719" w:rsidRPr="00444989" w:rsidRDefault="003B3719" w:rsidP="00E00B8E">
      <w:pPr>
        <w:jc w:val="both"/>
        <w:rPr>
          <w:sz w:val="22"/>
          <w:szCs w:val="22"/>
        </w:rPr>
      </w:pPr>
      <w:r>
        <w:rPr>
          <w:sz w:val="22"/>
          <w:szCs w:val="22"/>
        </w:rPr>
        <w:t xml:space="preserve">Regeringen avser att flytta ansvaret för att bygga upp och utveckla ämneslärarutbildning i språket meänkieli från Stockholms universitet till Umeå universitet. </w:t>
      </w:r>
      <w:r w:rsidRPr="00444989">
        <w:rPr>
          <w:sz w:val="22"/>
          <w:szCs w:val="22"/>
        </w:rPr>
        <w:t xml:space="preserve">Regeringen föreslår att ytterligare 1,5 miljoner kr tillskjuts för uppdraget och att ca </w:t>
      </w:r>
      <w:r>
        <w:rPr>
          <w:sz w:val="22"/>
          <w:szCs w:val="22"/>
        </w:rPr>
        <w:t>0,5 mnkr</w:t>
      </w:r>
      <w:r w:rsidRPr="00444989">
        <w:rPr>
          <w:sz w:val="22"/>
          <w:szCs w:val="22"/>
        </w:rPr>
        <w:t xml:space="preserve"> omfördelas mellan </w:t>
      </w:r>
      <w:r>
        <w:rPr>
          <w:sz w:val="22"/>
          <w:szCs w:val="22"/>
        </w:rPr>
        <w:t xml:space="preserve">Stockholms universitet </w:t>
      </w:r>
      <w:r w:rsidRPr="00444989">
        <w:rPr>
          <w:sz w:val="22"/>
          <w:szCs w:val="22"/>
        </w:rPr>
        <w:t>och Um</w:t>
      </w:r>
      <w:r>
        <w:rPr>
          <w:sz w:val="22"/>
          <w:szCs w:val="22"/>
        </w:rPr>
        <w:t>eå universitet</w:t>
      </w:r>
      <w:r w:rsidRPr="00444989">
        <w:rPr>
          <w:sz w:val="22"/>
          <w:szCs w:val="22"/>
        </w:rPr>
        <w:t xml:space="preserve">. Detta innebär därmed att det avsätts ca 2 mnkr per språk. Inga förändringar föreslås när det gäller uppdraget att bygga upp och utveckla ämneslärarutbildning i meänkieli.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1932"/>
        <w:gridCol w:w="2204"/>
        <w:gridCol w:w="2030"/>
      </w:tblGrid>
      <w:tr w:rsidR="003B3719" w:rsidRPr="005A7829" w14:paraId="736042EF" w14:textId="77777777" w:rsidTr="00F80217">
        <w:tc>
          <w:tcPr>
            <w:tcW w:w="2888" w:type="dxa"/>
            <w:shd w:val="clear" w:color="auto" w:fill="EEECE1" w:themeFill="background2"/>
          </w:tcPr>
          <w:p w14:paraId="243A01DB" w14:textId="77777777" w:rsidR="003B3719" w:rsidRPr="005A7829" w:rsidRDefault="003B3719" w:rsidP="00F80217">
            <w:pPr>
              <w:spacing w:after="0"/>
              <w:jc w:val="both"/>
              <w:rPr>
                <w:rFonts w:cs="Arial"/>
                <w:sz w:val="22"/>
                <w:szCs w:val="22"/>
              </w:rPr>
            </w:pPr>
          </w:p>
        </w:tc>
        <w:tc>
          <w:tcPr>
            <w:tcW w:w="1932" w:type="dxa"/>
            <w:shd w:val="clear" w:color="auto" w:fill="EEECE1" w:themeFill="background2"/>
          </w:tcPr>
          <w:p w14:paraId="60660181" w14:textId="77777777" w:rsidR="003B3719" w:rsidRPr="005A7829" w:rsidRDefault="003B3719" w:rsidP="00F80217">
            <w:pPr>
              <w:spacing w:after="0"/>
              <w:jc w:val="both"/>
              <w:rPr>
                <w:rFonts w:cs="Arial"/>
                <w:sz w:val="22"/>
                <w:szCs w:val="22"/>
              </w:rPr>
            </w:pPr>
            <w:r w:rsidRPr="005A7829">
              <w:rPr>
                <w:rFonts w:cs="Arial"/>
                <w:sz w:val="22"/>
                <w:szCs w:val="22"/>
              </w:rPr>
              <w:t>Riket</w:t>
            </w:r>
          </w:p>
        </w:tc>
        <w:tc>
          <w:tcPr>
            <w:tcW w:w="2204" w:type="dxa"/>
            <w:shd w:val="clear" w:color="auto" w:fill="EEECE1" w:themeFill="background2"/>
          </w:tcPr>
          <w:p w14:paraId="44548EA0" w14:textId="77777777" w:rsidR="003B3719" w:rsidRPr="005A7829" w:rsidRDefault="003B3719" w:rsidP="00F80217">
            <w:pPr>
              <w:spacing w:after="0"/>
              <w:jc w:val="both"/>
              <w:rPr>
                <w:rFonts w:cs="Arial"/>
                <w:sz w:val="22"/>
                <w:szCs w:val="22"/>
              </w:rPr>
            </w:pPr>
            <w:r w:rsidRPr="005A7829">
              <w:rPr>
                <w:rFonts w:cs="Arial"/>
                <w:sz w:val="22"/>
                <w:szCs w:val="22"/>
              </w:rPr>
              <w:t>UmU</w:t>
            </w:r>
          </w:p>
        </w:tc>
        <w:tc>
          <w:tcPr>
            <w:tcW w:w="2030" w:type="dxa"/>
            <w:shd w:val="clear" w:color="auto" w:fill="EEECE1" w:themeFill="background2"/>
          </w:tcPr>
          <w:p w14:paraId="7AF06504" w14:textId="77777777" w:rsidR="003B3719" w:rsidRPr="005A7829" w:rsidRDefault="003B3719" w:rsidP="00F80217">
            <w:pPr>
              <w:spacing w:after="0"/>
              <w:jc w:val="both"/>
              <w:rPr>
                <w:rFonts w:cs="Arial"/>
                <w:sz w:val="22"/>
                <w:szCs w:val="22"/>
              </w:rPr>
            </w:pPr>
            <w:r w:rsidRPr="005A7829">
              <w:rPr>
                <w:rFonts w:cs="Arial"/>
                <w:sz w:val="22"/>
                <w:szCs w:val="22"/>
              </w:rPr>
              <w:t>Andel UmU</w:t>
            </w:r>
          </w:p>
        </w:tc>
      </w:tr>
      <w:tr w:rsidR="003B3719" w:rsidRPr="005A7829" w14:paraId="2CABD760" w14:textId="77777777" w:rsidTr="00F80217">
        <w:tc>
          <w:tcPr>
            <w:tcW w:w="2888" w:type="dxa"/>
          </w:tcPr>
          <w:p w14:paraId="4EF4CE06" w14:textId="77777777" w:rsidR="003B3719" w:rsidRPr="005A7829" w:rsidRDefault="003B3719" w:rsidP="00F80217">
            <w:pPr>
              <w:spacing w:after="0"/>
              <w:jc w:val="both"/>
              <w:rPr>
                <w:rFonts w:cs="Arial"/>
                <w:sz w:val="22"/>
                <w:szCs w:val="22"/>
              </w:rPr>
            </w:pPr>
            <w:r w:rsidRPr="005A7829">
              <w:rPr>
                <w:rFonts w:cs="Arial"/>
                <w:sz w:val="22"/>
                <w:szCs w:val="22"/>
              </w:rPr>
              <w:t>Anslagsökning 201</w:t>
            </w:r>
            <w:r>
              <w:rPr>
                <w:rFonts w:cs="Arial"/>
                <w:sz w:val="22"/>
                <w:szCs w:val="22"/>
              </w:rPr>
              <w:t>6</w:t>
            </w:r>
          </w:p>
        </w:tc>
        <w:tc>
          <w:tcPr>
            <w:tcW w:w="1932" w:type="dxa"/>
          </w:tcPr>
          <w:p w14:paraId="2090981E" w14:textId="77777777" w:rsidR="003B3719" w:rsidRPr="005A7829" w:rsidRDefault="003B3719" w:rsidP="00F80217">
            <w:pPr>
              <w:spacing w:after="0"/>
              <w:jc w:val="both"/>
              <w:rPr>
                <w:rFonts w:cs="Arial"/>
                <w:sz w:val="22"/>
                <w:szCs w:val="22"/>
              </w:rPr>
            </w:pPr>
            <w:r>
              <w:rPr>
                <w:rFonts w:cs="Arial"/>
                <w:sz w:val="22"/>
                <w:szCs w:val="22"/>
              </w:rPr>
              <w:t>-</w:t>
            </w:r>
          </w:p>
        </w:tc>
        <w:tc>
          <w:tcPr>
            <w:tcW w:w="2204" w:type="dxa"/>
            <w:shd w:val="clear" w:color="auto" w:fill="auto"/>
          </w:tcPr>
          <w:p w14:paraId="66288BDD" w14:textId="77777777" w:rsidR="003B3719" w:rsidRPr="005A7829" w:rsidRDefault="003B3719" w:rsidP="00F80217">
            <w:pPr>
              <w:spacing w:after="0"/>
              <w:jc w:val="both"/>
              <w:rPr>
                <w:rFonts w:cs="Arial"/>
                <w:sz w:val="22"/>
                <w:szCs w:val="22"/>
              </w:rPr>
            </w:pPr>
            <w:r>
              <w:rPr>
                <w:rFonts w:cs="Arial"/>
                <w:sz w:val="22"/>
                <w:szCs w:val="22"/>
              </w:rPr>
              <w:t>+2,0</w:t>
            </w:r>
          </w:p>
        </w:tc>
        <w:tc>
          <w:tcPr>
            <w:tcW w:w="2030" w:type="dxa"/>
          </w:tcPr>
          <w:p w14:paraId="3C8A9CBD" w14:textId="77777777" w:rsidR="003B3719" w:rsidRPr="00185979" w:rsidRDefault="003B3719" w:rsidP="00F80217">
            <w:pPr>
              <w:spacing w:after="0"/>
              <w:jc w:val="both"/>
              <w:rPr>
                <w:rFonts w:cs="Arial"/>
                <w:sz w:val="22"/>
                <w:szCs w:val="22"/>
                <w:highlight w:val="yellow"/>
              </w:rPr>
            </w:pPr>
            <w:r w:rsidRPr="00E60CBB">
              <w:rPr>
                <w:rFonts w:cs="Arial"/>
                <w:sz w:val="22"/>
                <w:szCs w:val="22"/>
              </w:rPr>
              <w:t>-</w:t>
            </w:r>
          </w:p>
        </w:tc>
      </w:tr>
    </w:tbl>
    <w:p w14:paraId="57725A1C" w14:textId="77777777" w:rsidR="003B3719" w:rsidRDefault="003B3719" w:rsidP="003B3719">
      <w:pPr>
        <w:spacing w:after="0"/>
        <w:jc w:val="both"/>
        <w:rPr>
          <w:rFonts w:cs="Arial"/>
          <w:b/>
          <w:i/>
          <w:sz w:val="22"/>
          <w:szCs w:val="22"/>
        </w:rPr>
      </w:pPr>
    </w:p>
    <w:p w14:paraId="58F7D503" w14:textId="77777777" w:rsidR="003B3719" w:rsidRDefault="003B3719" w:rsidP="003B3719">
      <w:pPr>
        <w:spacing w:after="0"/>
        <w:jc w:val="both"/>
        <w:rPr>
          <w:rFonts w:cs="Arial"/>
          <w:b/>
          <w:i/>
          <w:sz w:val="22"/>
          <w:szCs w:val="22"/>
        </w:rPr>
      </w:pPr>
    </w:p>
    <w:p w14:paraId="36B3C30F" w14:textId="77777777" w:rsidR="003B3719" w:rsidRPr="00E00B8E" w:rsidRDefault="003B3719" w:rsidP="003B3719">
      <w:pPr>
        <w:spacing w:after="0"/>
        <w:jc w:val="both"/>
        <w:rPr>
          <w:rFonts w:cs="Arial"/>
          <w:b/>
          <w:i/>
          <w:sz w:val="36"/>
          <w:szCs w:val="36"/>
        </w:rPr>
      </w:pPr>
      <w:r w:rsidRPr="00E00B8E">
        <w:rPr>
          <w:rFonts w:cs="Arial"/>
          <w:b/>
          <w:sz w:val="36"/>
          <w:szCs w:val="36"/>
        </w:rPr>
        <w:t xml:space="preserve">Forskning ekonomi, hela propositionen </w:t>
      </w:r>
      <w:r w:rsidRPr="00E00B8E">
        <w:rPr>
          <w:rFonts w:cs="Arial"/>
          <w:b/>
          <w:i/>
          <w:sz w:val="36"/>
          <w:szCs w:val="36"/>
        </w:rPr>
        <w:t>(mnkr)</w:t>
      </w:r>
    </w:p>
    <w:p w14:paraId="547377E8" w14:textId="77777777" w:rsidR="003B3719" w:rsidRPr="00444989" w:rsidRDefault="003B3719" w:rsidP="003B3719">
      <w:pPr>
        <w:spacing w:after="0"/>
        <w:jc w:val="both"/>
        <w:rPr>
          <w:sz w:val="22"/>
          <w:szCs w:val="22"/>
        </w:rPr>
      </w:pPr>
    </w:p>
    <w:p w14:paraId="6CCBEA6D" w14:textId="77777777" w:rsidR="003B3719" w:rsidRDefault="003B3719" w:rsidP="003B3719">
      <w:pPr>
        <w:spacing w:after="0"/>
        <w:jc w:val="both"/>
        <w:rPr>
          <w:rFonts w:cs="Arial"/>
          <w:sz w:val="22"/>
          <w:szCs w:val="22"/>
        </w:rPr>
      </w:pPr>
      <w:r>
        <w:rPr>
          <w:rFonts w:cs="Arial"/>
          <w:b/>
          <w:i/>
          <w:sz w:val="22"/>
          <w:szCs w:val="22"/>
        </w:rPr>
        <w:t>Högre kvalitet och effektivitet (mnkr)</w:t>
      </w:r>
    </w:p>
    <w:p w14:paraId="65ED4E0F" w14:textId="3FE9A019" w:rsidR="003B3719" w:rsidRPr="003C14E8" w:rsidRDefault="003B3719" w:rsidP="003B3719">
      <w:pPr>
        <w:spacing w:after="0"/>
        <w:jc w:val="both"/>
        <w:rPr>
          <w:rFonts w:cs="Arial"/>
          <w:sz w:val="22"/>
          <w:szCs w:val="22"/>
        </w:rPr>
      </w:pPr>
      <w:r w:rsidRPr="00444989">
        <w:rPr>
          <w:sz w:val="22"/>
          <w:szCs w:val="22"/>
        </w:rPr>
        <w:t>I propositionen Forskning och innovation (prop. 2012/13:30, bet. 2012/13:UbU3, rskr. 2012/13:151) gjordes bedömningen att anslagen för forskning och forskarutbildning till universitet och högskolor bör öka med totalt 300 miljoner kronor 2016. Regeringen anser att det är angeläget att alla universitet och högskolor för 2016 får del av de nya resurser som tilldelas forskningsanslagen. Regeringen föreslår att medlen fördelas baserat på de principer som redovisades i propositionen, men för att stärka forskningen vid alla lärosäten föreslår regeringen att alla lärosäten som ingår i resursfördelningsmodellen garanteras minst 5 miljoner kronor i ökade anslag till forskning och forskarutbildning när resultatet av omfördelning och fördelning av nya medel slås samman. För att särskilt stärka högskolorna och de nya universiteten (Linné- och Mittuniversitetet samt Karlstads och Örebro universitet) har regeringen i sitt förslag delat in de berörda lärosätena i tre grupper. Högskolegruppen och gruppen med nya universitet t</w:t>
      </w:r>
      <w:r>
        <w:rPr>
          <w:sz w:val="22"/>
          <w:szCs w:val="22"/>
        </w:rPr>
        <w:t>illdelas 90 miljoner kronor var</w:t>
      </w:r>
      <w:r w:rsidRPr="00444989">
        <w:rPr>
          <w:sz w:val="22"/>
          <w:szCs w:val="22"/>
        </w:rPr>
        <w:t xml:space="preserve">dera. 100 miljoner kronor har tilldelats gruppen med övriga universitet. Inom respektive grupp har fördelningen gjorts med de indikatorer som redovisades i propositionen Forskning och innovation. </w:t>
      </w:r>
    </w:p>
    <w:p w14:paraId="5BD87608" w14:textId="77777777" w:rsidR="003B3719" w:rsidRPr="00147B74" w:rsidRDefault="003B3719" w:rsidP="003B3719">
      <w:pPr>
        <w:spacing w:after="0"/>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1929"/>
        <w:gridCol w:w="2253"/>
        <w:gridCol w:w="1971"/>
      </w:tblGrid>
      <w:tr w:rsidR="003B3719" w:rsidRPr="00147B74" w14:paraId="38BA99D6" w14:textId="77777777" w:rsidTr="00721CFC">
        <w:tc>
          <w:tcPr>
            <w:tcW w:w="2901" w:type="dxa"/>
            <w:shd w:val="clear" w:color="auto" w:fill="EEECE1" w:themeFill="background2"/>
          </w:tcPr>
          <w:p w14:paraId="1A34EFEB" w14:textId="77777777" w:rsidR="003B3719" w:rsidRPr="00147B74" w:rsidRDefault="003B3719" w:rsidP="00F80217">
            <w:pPr>
              <w:spacing w:after="0"/>
              <w:jc w:val="both"/>
              <w:rPr>
                <w:rFonts w:cs="Arial"/>
                <w:sz w:val="22"/>
                <w:szCs w:val="22"/>
              </w:rPr>
            </w:pPr>
          </w:p>
        </w:tc>
        <w:tc>
          <w:tcPr>
            <w:tcW w:w="1929" w:type="dxa"/>
            <w:shd w:val="clear" w:color="auto" w:fill="EEECE1" w:themeFill="background2"/>
          </w:tcPr>
          <w:p w14:paraId="7BE4CA22" w14:textId="77777777" w:rsidR="003B3719" w:rsidRPr="00147B74" w:rsidRDefault="003B3719" w:rsidP="00F80217">
            <w:pPr>
              <w:spacing w:after="0"/>
              <w:jc w:val="both"/>
              <w:rPr>
                <w:rFonts w:cs="Arial"/>
                <w:sz w:val="22"/>
                <w:szCs w:val="22"/>
              </w:rPr>
            </w:pPr>
            <w:r w:rsidRPr="00147B74">
              <w:rPr>
                <w:rFonts w:cs="Arial"/>
                <w:sz w:val="22"/>
                <w:szCs w:val="22"/>
              </w:rPr>
              <w:t>Riket</w:t>
            </w:r>
          </w:p>
        </w:tc>
        <w:tc>
          <w:tcPr>
            <w:tcW w:w="2253" w:type="dxa"/>
            <w:shd w:val="clear" w:color="auto" w:fill="EEECE1" w:themeFill="background2"/>
          </w:tcPr>
          <w:p w14:paraId="132B6A4C" w14:textId="77777777" w:rsidR="003B3719" w:rsidRPr="00147B74" w:rsidRDefault="003B3719" w:rsidP="00F80217">
            <w:pPr>
              <w:spacing w:after="0"/>
              <w:jc w:val="both"/>
              <w:rPr>
                <w:rFonts w:cs="Arial"/>
                <w:sz w:val="22"/>
                <w:szCs w:val="22"/>
              </w:rPr>
            </w:pPr>
            <w:r w:rsidRPr="00147B74">
              <w:rPr>
                <w:rFonts w:cs="Arial"/>
                <w:sz w:val="22"/>
                <w:szCs w:val="22"/>
              </w:rPr>
              <w:t>UmU</w:t>
            </w:r>
          </w:p>
        </w:tc>
        <w:tc>
          <w:tcPr>
            <w:tcW w:w="1971" w:type="dxa"/>
            <w:shd w:val="clear" w:color="auto" w:fill="EEECE1" w:themeFill="background2"/>
          </w:tcPr>
          <w:p w14:paraId="0399A77A" w14:textId="77777777" w:rsidR="003B3719" w:rsidRPr="00147B74" w:rsidRDefault="003B3719" w:rsidP="00F80217">
            <w:pPr>
              <w:spacing w:after="0"/>
              <w:jc w:val="both"/>
              <w:rPr>
                <w:rFonts w:cs="Arial"/>
                <w:sz w:val="22"/>
                <w:szCs w:val="22"/>
              </w:rPr>
            </w:pPr>
            <w:r w:rsidRPr="00147B74">
              <w:rPr>
                <w:rFonts w:cs="Arial"/>
                <w:sz w:val="22"/>
                <w:szCs w:val="22"/>
              </w:rPr>
              <w:t>Andel UmU</w:t>
            </w:r>
          </w:p>
        </w:tc>
      </w:tr>
      <w:tr w:rsidR="003B3719" w:rsidRPr="00147B74" w14:paraId="3232F90D" w14:textId="77777777" w:rsidTr="00721CFC">
        <w:tc>
          <w:tcPr>
            <w:tcW w:w="2901" w:type="dxa"/>
          </w:tcPr>
          <w:p w14:paraId="69AC6827" w14:textId="77777777" w:rsidR="003B3719" w:rsidRPr="00147B74" w:rsidRDefault="003B3719" w:rsidP="00F80217">
            <w:pPr>
              <w:spacing w:after="0"/>
              <w:jc w:val="both"/>
              <w:rPr>
                <w:rFonts w:cs="Arial"/>
                <w:sz w:val="22"/>
                <w:szCs w:val="22"/>
              </w:rPr>
            </w:pPr>
            <w:r w:rsidRPr="00147B74">
              <w:rPr>
                <w:rFonts w:cs="Arial"/>
                <w:sz w:val="22"/>
                <w:szCs w:val="22"/>
              </w:rPr>
              <w:t>Anslagsförändring 201</w:t>
            </w:r>
            <w:r>
              <w:rPr>
                <w:rFonts w:cs="Arial"/>
                <w:sz w:val="22"/>
                <w:szCs w:val="22"/>
              </w:rPr>
              <w:t>6</w:t>
            </w:r>
          </w:p>
        </w:tc>
        <w:tc>
          <w:tcPr>
            <w:tcW w:w="1929" w:type="dxa"/>
          </w:tcPr>
          <w:p w14:paraId="16248FF7" w14:textId="77777777" w:rsidR="003B3719" w:rsidRPr="00147B74" w:rsidRDefault="003B3719" w:rsidP="00F80217">
            <w:pPr>
              <w:spacing w:after="0"/>
              <w:jc w:val="both"/>
              <w:rPr>
                <w:rFonts w:cs="Arial"/>
                <w:sz w:val="22"/>
                <w:szCs w:val="22"/>
              </w:rPr>
            </w:pPr>
            <w:r>
              <w:rPr>
                <w:rFonts w:cs="Arial"/>
                <w:sz w:val="22"/>
                <w:szCs w:val="22"/>
              </w:rPr>
              <w:t>+284</w:t>
            </w:r>
          </w:p>
        </w:tc>
        <w:tc>
          <w:tcPr>
            <w:tcW w:w="2253" w:type="dxa"/>
          </w:tcPr>
          <w:p w14:paraId="13B3AA82" w14:textId="77777777" w:rsidR="003B3719" w:rsidRPr="00147B74" w:rsidRDefault="003B3719" w:rsidP="00F80217">
            <w:pPr>
              <w:spacing w:after="0"/>
              <w:jc w:val="both"/>
              <w:rPr>
                <w:rFonts w:cs="Arial"/>
                <w:sz w:val="22"/>
                <w:szCs w:val="22"/>
              </w:rPr>
            </w:pPr>
            <w:r>
              <w:rPr>
                <w:rFonts w:cs="Arial"/>
                <w:sz w:val="22"/>
                <w:szCs w:val="22"/>
              </w:rPr>
              <w:t>+5,</w:t>
            </w:r>
            <w:r w:rsidRPr="00147B74">
              <w:rPr>
                <w:rFonts w:cs="Arial"/>
                <w:sz w:val="22"/>
                <w:szCs w:val="22"/>
              </w:rPr>
              <w:t>0</w:t>
            </w:r>
          </w:p>
        </w:tc>
        <w:tc>
          <w:tcPr>
            <w:tcW w:w="1971" w:type="dxa"/>
          </w:tcPr>
          <w:p w14:paraId="6EA10468" w14:textId="0FF50600" w:rsidR="003B3719" w:rsidRPr="00147B74" w:rsidRDefault="003B3719" w:rsidP="00F80217">
            <w:pPr>
              <w:spacing w:after="0"/>
              <w:jc w:val="both"/>
              <w:rPr>
                <w:rFonts w:cs="Arial"/>
                <w:sz w:val="22"/>
                <w:szCs w:val="22"/>
              </w:rPr>
            </w:pPr>
            <w:r>
              <w:rPr>
                <w:rFonts w:cs="Arial"/>
                <w:sz w:val="22"/>
                <w:szCs w:val="22"/>
              </w:rPr>
              <w:t>1,8</w:t>
            </w:r>
            <w:r w:rsidR="00721CFC">
              <w:rPr>
                <w:rFonts w:cs="Arial"/>
                <w:sz w:val="22"/>
                <w:szCs w:val="22"/>
              </w:rPr>
              <w:t xml:space="preserve"> </w:t>
            </w:r>
            <w:r w:rsidRPr="00147B74">
              <w:rPr>
                <w:rFonts w:cs="Arial"/>
                <w:sz w:val="22"/>
                <w:szCs w:val="22"/>
              </w:rPr>
              <w:t>%</w:t>
            </w:r>
          </w:p>
        </w:tc>
      </w:tr>
    </w:tbl>
    <w:p w14:paraId="68893785" w14:textId="77777777" w:rsidR="003B3719" w:rsidRDefault="003B3719" w:rsidP="003B3719">
      <w:pPr>
        <w:spacing w:after="0"/>
        <w:jc w:val="both"/>
        <w:rPr>
          <w:rFonts w:cs="Arial"/>
          <w:sz w:val="22"/>
          <w:szCs w:val="22"/>
          <w:highlight w:val="yellow"/>
        </w:rPr>
      </w:pPr>
    </w:p>
    <w:p w14:paraId="7323D450" w14:textId="77777777" w:rsidR="003B3719" w:rsidRPr="007F2313" w:rsidRDefault="003B3719" w:rsidP="003B3719">
      <w:pPr>
        <w:spacing w:after="0"/>
        <w:jc w:val="both"/>
        <w:rPr>
          <w:rFonts w:cs="Arial"/>
          <w:b/>
          <w:i/>
          <w:sz w:val="22"/>
          <w:szCs w:val="22"/>
        </w:rPr>
      </w:pPr>
      <w:r>
        <w:rPr>
          <w:rFonts w:cs="Arial"/>
          <w:b/>
          <w:i/>
          <w:sz w:val="22"/>
          <w:szCs w:val="22"/>
        </w:rPr>
        <w:t>Minskning av anslag som pris- och löneomräknas</w:t>
      </w:r>
      <w:r w:rsidRPr="007F2313">
        <w:rPr>
          <w:rFonts w:cs="Arial"/>
          <w:b/>
          <w:i/>
          <w:sz w:val="22"/>
          <w:szCs w:val="22"/>
        </w:rPr>
        <w:t xml:space="preserve"> (mnkr)</w:t>
      </w:r>
    </w:p>
    <w:p w14:paraId="4094E996" w14:textId="77777777" w:rsidR="003B3719" w:rsidRPr="004D3BF0" w:rsidRDefault="003B3719" w:rsidP="003B3719">
      <w:pPr>
        <w:spacing w:after="0"/>
        <w:jc w:val="both"/>
        <w:rPr>
          <w:rFonts w:cs="Arial"/>
          <w:sz w:val="22"/>
          <w:szCs w:val="22"/>
        </w:rPr>
      </w:pPr>
      <w:r>
        <w:rPr>
          <w:rFonts w:cs="Arial"/>
          <w:sz w:val="22"/>
          <w:szCs w:val="22"/>
        </w:rPr>
        <w:t xml:space="preserve">Anslag som pris- och löneomräknas minskade 2015 för att bidra med finansiering till prioriterade satsningar. För 2016 föreslås anslagen minska ytterligare till följd av denna åtgärd (-2,7 mnkr). Minskningen fördelas i proportion till anslagens storlek. </w:t>
      </w:r>
    </w:p>
    <w:p w14:paraId="2BD20852" w14:textId="77777777" w:rsidR="003B3719" w:rsidRPr="008E4B30" w:rsidRDefault="003B3719" w:rsidP="003B3719">
      <w:pPr>
        <w:spacing w:after="0"/>
        <w:jc w:val="both"/>
        <w:rPr>
          <w:rFonts w:cs="Arial"/>
          <w:sz w:val="22"/>
          <w:szCs w:val="22"/>
          <w:highlight w:val="yellow"/>
        </w:rPr>
      </w:pPr>
      <w:r w:rsidRPr="008E4B30">
        <w:rPr>
          <w:rFonts w:cs="Arial"/>
          <w:sz w:val="22"/>
          <w:szCs w:val="22"/>
          <w:highlight w:val="yello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1929"/>
        <w:gridCol w:w="2199"/>
        <w:gridCol w:w="2026"/>
      </w:tblGrid>
      <w:tr w:rsidR="003B3719" w:rsidRPr="008E4B30" w14:paraId="3E8479FC" w14:textId="77777777" w:rsidTr="00F80217">
        <w:tc>
          <w:tcPr>
            <w:tcW w:w="2943" w:type="dxa"/>
            <w:shd w:val="clear" w:color="auto" w:fill="EEECE1" w:themeFill="background2"/>
          </w:tcPr>
          <w:p w14:paraId="3395E9B0" w14:textId="77777777" w:rsidR="003B3719" w:rsidRPr="008E4B30" w:rsidRDefault="003B3719" w:rsidP="00F80217">
            <w:pPr>
              <w:spacing w:after="0"/>
              <w:jc w:val="both"/>
              <w:rPr>
                <w:rFonts w:cs="Arial"/>
                <w:sz w:val="22"/>
                <w:szCs w:val="22"/>
                <w:highlight w:val="yellow"/>
              </w:rPr>
            </w:pPr>
          </w:p>
        </w:tc>
        <w:tc>
          <w:tcPr>
            <w:tcW w:w="1985" w:type="dxa"/>
            <w:shd w:val="clear" w:color="auto" w:fill="EEECE1" w:themeFill="background2"/>
          </w:tcPr>
          <w:p w14:paraId="1932CBBF" w14:textId="77777777" w:rsidR="003B3719" w:rsidRPr="00D529B7" w:rsidRDefault="003B3719" w:rsidP="00F80217">
            <w:pPr>
              <w:spacing w:after="0"/>
              <w:jc w:val="both"/>
              <w:rPr>
                <w:rFonts w:cs="Arial"/>
                <w:sz w:val="22"/>
                <w:szCs w:val="22"/>
              </w:rPr>
            </w:pPr>
            <w:r w:rsidRPr="00D529B7">
              <w:rPr>
                <w:rFonts w:cs="Arial"/>
                <w:sz w:val="22"/>
                <w:szCs w:val="22"/>
              </w:rPr>
              <w:t>Riket</w:t>
            </w:r>
          </w:p>
        </w:tc>
        <w:tc>
          <w:tcPr>
            <w:tcW w:w="2268" w:type="dxa"/>
            <w:shd w:val="clear" w:color="auto" w:fill="EEECE1" w:themeFill="background2"/>
          </w:tcPr>
          <w:p w14:paraId="4CBF2AD0" w14:textId="77777777" w:rsidR="003B3719" w:rsidRPr="00D529B7" w:rsidRDefault="003B3719" w:rsidP="00F80217">
            <w:pPr>
              <w:spacing w:after="0"/>
              <w:jc w:val="both"/>
              <w:rPr>
                <w:rFonts w:cs="Arial"/>
                <w:sz w:val="22"/>
                <w:szCs w:val="22"/>
              </w:rPr>
            </w:pPr>
            <w:r w:rsidRPr="00D529B7">
              <w:rPr>
                <w:rFonts w:cs="Arial"/>
                <w:sz w:val="22"/>
                <w:szCs w:val="22"/>
              </w:rPr>
              <w:t>UmU</w:t>
            </w:r>
          </w:p>
        </w:tc>
        <w:tc>
          <w:tcPr>
            <w:tcW w:w="2084" w:type="dxa"/>
            <w:shd w:val="clear" w:color="auto" w:fill="EEECE1" w:themeFill="background2"/>
          </w:tcPr>
          <w:p w14:paraId="5CDA51E4" w14:textId="77777777" w:rsidR="003B3719" w:rsidRPr="00D529B7" w:rsidRDefault="003B3719" w:rsidP="00F80217">
            <w:pPr>
              <w:spacing w:after="0"/>
              <w:jc w:val="both"/>
              <w:rPr>
                <w:rFonts w:cs="Arial"/>
                <w:sz w:val="22"/>
                <w:szCs w:val="22"/>
              </w:rPr>
            </w:pPr>
            <w:r w:rsidRPr="00D529B7">
              <w:rPr>
                <w:rFonts w:cs="Arial"/>
                <w:sz w:val="22"/>
                <w:szCs w:val="22"/>
              </w:rPr>
              <w:t>Andel UmU</w:t>
            </w:r>
          </w:p>
        </w:tc>
      </w:tr>
      <w:tr w:rsidR="003B3719" w:rsidRPr="00561874" w14:paraId="1303C6EE" w14:textId="77777777" w:rsidTr="00F80217">
        <w:tc>
          <w:tcPr>
            <w:tcW w:w="2943" w:type="dxa"/>
          </w:tcPr>
          <w:p w14:paraId="7B48906F" w14:textId="77777777" w:rsidR="003B3719" w:rsidRPr="004D3BF0" w:rsidRDefault="003B3719" w:rsidP="00F80217">
            <w:pPr>
              <w:spacing w:after="0"/>
              <w:jc w:val="both"/>
              <w:rPr>
                <w:rFonts w:cs="Arial"/>
                <w:sz w:val="22"/>
                <w:szCs w:val="22"/>
              </w:rPr>
            </w:pPr>
            <w:r w:rsidRPr="004D3BF0">
              <w:rPr>
                <w:rFonts w:cs="Arial"/>
                <w:sz w:val="22"/>
                <w:szCs w:val="22"/>
              </w:rPr>
              <w:t>Anslagsminskning 201</w:t>
            </w:r>
            <w:r>
              <w:rPr>
                <w:rFonts w:cs="Arial"/>
                <w:sz w:val="22"/>
                <w:szCs w:val="22"/>
              </w:rPr>
              <w:t>6</w:t>
            </w:r>
          </w:p>
        </w:tc>
        <w:tc>
          <w:tcPr>
            <w:tcW w:w="1985" w:type="dxa"/>
          </w:tcPr>
          <w:p w14:paraId="29D9F500" w14:textId="77777777" w:rsidR="003B3719" w:rsidRPr="004D3BF0" w:rsidRDefault="003B3719" w:rsidP="00F80217">
            <w:pPr>
              <w:spacing w:after="0"/>
              <w:jc w:val="both"/>
              <w:rPr>
                <w:rFonts w:cs="Arial"/>
                <w:sz w:val="22"/>
                <w:szCs w:val="22"/>
              </w:rPr>
            </w:pPr>
            <w:r>
              <w:rPr>
                <w:rFonts w:cs="Arial"/>
                <w:sz w:val="22"/>
                <w:szCs w:val="22"/>
              </w:rPr>
              <w:t>-</w:t>
            </w:r>
          </w:p>
        </w:tc>
        <w:tc>
          <w:tcPr>
            <w:tcW w:w="2268" w:type="dxa"/>
          </w:tcPr>
          <w:p w14:paraId="2998D273" w14:textId="77777777" w:rsidR="003B3719" w:rsidRPr="004D3BF0" w:rsidRDefault="003B3719" w:rsidP="00F80217">
            <w:pPr>
              <w:spacing w:after="0"/>
              <w:jc w:val="both"/>
              <w:rPr>
                <w:rFonts w:cs="Arial"/>
                <w:sz w:val="22"/>
                <w:szCs w:val="22"/>
              </w:rPr>
            </w:pPr>
            <w:r w:rsidRPr="004D3BF0">
              <w:rPr>
                <w:rFonts w:cs="Arial"/>
                <w:sz w:val="22"/>
                <w:szCs w:val="22"/>
              </w:rPr>
              <w:t>-</w:t>
            </w:r>
            <w:r>
              <w:rPr>
                <w:rFonts w:cs="Arial"/>
                <w:sz w:val="22"/>
                <w:szCs w:val="22"/>
              </w:rPr>
              <w:t>2,7</w:t>
            </w:r>
          </w:p>
        </w:tc>
        <w:tc>
          <w:tcPr>
            <w:tcW w:w="2084" w:type="dxa"/>
          </w:tcPr>
          <w:p w14:paraId="66CE4A42" w14:textId="728E88AA" w:rsidR="003B3719" w:rsidRPr="00561874" w:rsidRDefault="003B3719" w:rsidP="00721CFC">
            <w:pPr>
              <w:spacing w:after="0"/>
              <w:jc w:val="both"/>
              <w:rPr>
                <w:rFonts w:cs="Arial"/>
                <w:sz w:val="22"/>
                <w:szCs w:val="22"/>
              </w:rPr>
            </w:pPr>
            <w:r>
              <w:rPr>
                <w:rFonts w:cs="Arial"/>
                <w:sz w:val="22"/>
                <w:szCs w:val="22"/>
              </w:rPr>
              <w:t xml:space="preserve">- </w:t>
            </w:r>
            <w:r w:rsidRPr="004D3BF0">
              <w:rPr>
                <w:rFonts w:cs="Arial"/>
                <w:sz w:val="22"/>
                <w:szCs w:val="22"/>
              </w:rPr>
              <w:t>%</w:t>
            </w:r>
          </w:p>
        </w:tc>
      </w:tr>
    </w:tbl>
    <w:p w14:paraId="12F36318" w14:textId="77777777" w:rsidR="003B3719" w:rsidRDefault="003B3719" w:rsidP="003B3719">
      <w:pPr>
        <w:spacing w:after="0"/>
        <w:jc w:val="both"/>
        <w:rPr>
          <w:b/>
        </w:rPr>
      </w:pPr>
    </w:p>
    <w:p w14:paraId="06498DB8" w14:textId="77777777" w:rsidR="003B3719" w:rsidRDefault="003B3719" w:rsidP="00EF7734">
      <w:pPr>
        <w:spacing w:after="0"/>
        <w:jc w:val="both"/>
        <w:rPr>
          <w:rFonts w:cs="Arial"/>
          <w:b/>
          <w:sz w:val="36"/>
          <w:szCs w:val="36"/>
        </w:rPr>
      </w:pPr>
    </w:p>
    <w:p w14:paraId="4FF728C5" w14:textId="77777777" w:rsidR="00721CFC" w:rsidRDefault="00721CFC">
      <w:pPr>
        <w:spacing w:after="0"/>
        <w:rPr>
          <w:b/>
        </w:rPr>
      </w:pPr>
      <w:r>
        <w:rPr>
          <w:b/>
        </w:rPr>
        <w:br w:type="page"/>
      </w:r>
    </w:p>
    <w:p w14:paraId="4B952738" w14:textId="611DD166" w:rsidR="00D03FC8" w:rsidRDefault="00AB5FB1" w:rsidP="00EF7734">
      <w:pPr>
        <w:spacing w:after="0"/>
        <w:jc w:val="both"/>
        <w:rPr>
          <w:b/>
        </w:rPr>
      </w:pPr>
      <w:r>
        <w:rPr>
          <w:b/>
        </w:rPr>
        <w:lastRenderedPageBreak/>
        <w:t>1. Förändring 2016</w:t>
      </w:r>
      <w:r w:rsidR="00EF7734" w:rsidRPr="00D03FC8">
        <w:rPr>
          <w:b/>
        </w:rPr>
        <w:t xml:space="preserve"> av anslagen till grundutbildning</w:t>
      </w:r>
      <w:r w:rsidR="00D03FC8">
        <w:rPr>
          <w:b/>
        </w:rPr>
        <w:t xml:space="preserve"> </w:t>
      </w:r>
    </w:p>
    <w:p w14:paraId="5786DBC7" w14:textId="48F67B22" w:rsidR="00EF7734" w:rsidRPr="00D03FC8" w:rsidRDefault="00D03FC8" w:rsidP="00EF7734">
      <w:pPr>
        <w:spacing w:after="0"/>
        <w:jc w:val="both"/>
        <w:rPr>
          <w:b/>
          <w:sz w:val="22"/>
          <w:szCs w:val="22"/>
        </w:rPr>
      </w:pPr>
      <w:r w:rsidRPr="00D03FC8">
        <w:rPr>
          <w:b/>
          <w:sz w:val="22"/>
          <w:szCs w:val="22"/>
        </w:rPr>
        <w:t>(201</w:t>
      </w:r>
      <w:r w:rsidR="00C669EA">
        <w:rPr>
          <w:b/>
          <w:sz w:val="22"/>
          <w:szCs w:val="22"/>
        </w:rPr>
        <w:t>5</w:t>
      </w:r>
      <w:r w:rsidRPr="00D03FC8">
        <w:rPr>
          <w:b/>
          <w:sz w:val="22"/>
          <w:szCs w:val="22"/>
        </w:rPr>
        <w:t xml:space="preserve"> års förändring anges inom parantes)</w:t>
      </w:r>
    </w:p>
    <w:p w14:paraId="6BAA5548" w14:textId="77777777" w:rsidR="00EF7734" w:rsidRPr="00C528AA" w:rsidRDefault="00EF7734" w:rsidP="00EF7734">
      <w:pPr>
        <w:spacing w:after="0"/>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8"/>
        <w:gridCol w:w="2297"/>
        <w:gridCol w:w="1843"/>
      </w:tblGrid>
      <w:tr w:rsidR="00EF7734" w:rsidRPr="00D03FC8" w14:paraId="20E554A1" w14:textId="77777777" w:rsidTr="00C528AA">
        <w:tc>
          <w:tcPr>
            <w:tcW w:w="2518" w:type="dxa"/>
            <w:shd w:val="clear" w:color="auto" w:fill="EEECE1" w:themeFill="background2"/>
          </w:tcPr>
          <w:p w14:paraId="00968BE5" w14:textId="77777777" w:rsidR="00EF7734" w:rsidRPr="00D03FC8" w:rsidRDefault="00EF7734" w:rsidP="007A57C9">
            <w:pPr>
              <w:spacing w:after="120"/>
              <w:jc w:val="both"/>
              <w:rPr>
                <w:b/>
                <w:sz w:val="20"/>
              </w:rPr>
            </w:pPr>
            <w:r w:rsidRPr="00D03FC8">
              <w:rPr>
                <w:b/>
                <w:sz w:val="20"/>
              </w:rPr>
              <w:t>Lärosäte</w:t>
            </w:r>
          </w:p>
        </w:tc>
        <w:tc>
          <w:tcPr>
            <w:tcW w:w="2297" w:type="dxa"/>
            <w:shd w:val="clear" w:color="auto" w:fill="EEECE1" w:themeFill="background2"/>
          </w:tcPr>
          <w:p w14:paraId="2A81707D" w14:textId="77777777" w:rsidR="00EF7734" w:rsidRPr="00D03FC8" w:rsidRDefault="00EF7734" w:rsidP="007A57C9">
            <w:pPr>
              <w:spacing w:after="120"/>
              <w:jc w:val="both"/>
              <w:rPr>
                <w:b/>
                <w:sz w:val="20"/>
              </w:rPr>
            </w:pPr>
            <w:r w:rsidRPr="00D03FC8">
              <w:rPr>
                <w:b/>
                <w:sz w:val="20"/>
              </w:rPr>
              <w:t>Förändring (mnkr)</w:t>
            </w:r>
          </w:p>
        </w:tc>
        <w:tc>
          <w:tcPr>
            <w:tcW w:w="1843" w:type="dxa"/>
            <w:shd w:val="clear" w:color="auto" w:fill="EEECE1" w:themeFill="background2"/>
          </w:tcPr>
          <w:p w14:paraId="42C529E7" w14:textId="77777777" w:rsidR="00EF7734" w:rsidRPr="00D03FC8" w:rsidRDefault="00EF7734" w:rsidP="007A57C9">
            <w:pPr>
              <w:spacing w:after="120"/>
              <w:jc w:val="both"/>
              <w:rPr>
                <w:b/>
                <w:sz w:val="20"/>
              </w:rPr>
            </w:pPr>
            <w:r w:rsidRPr="00D03FC8">
              <w:rPr>
                <w:b/>
                <w:sz w:val="20"/>
              </w:rPr>
              <w:t>Förändring i %</w:t>
            </w:r>
          </w:p>
        </w:tc>
      </w:tr>
      <w:tr w:rsidR="00EF7734" w:rsidRPr="00D03FC8" w14:paraId="5FA1F7A5" w14:textId="77777777" w:rsidTr="00C528AA">
        <w:tc>
          <w:tcPr>
            <w:tcW w:w="2518" w:type="dxa"/>
          </w:tcPr>
          <w:p w14:paraId="18EC6E38" w14:textId="77777777" w:rsidR="00EF7734" w:rsidRPr="00D03FC8" w:rsidRDefault="00EF7734" w:rsidP="007A57C9">
            <w:pPr>
              <w:spacing w:after="120"/>
              <w:jc w:val="both"/>
              <w:rPr>
                <w:sz w:val="20"/>
              </w:rPr>
            </w:pPr>
            <w:r w:rsidRPr="00D03FC8">
              <w:rPr>
                <w:sz w:val="20"/>
              </w:rPr>
              <w:t>Umeå universitet</w:t>
            </w:r>
          </w:p>
        </w:tc>
        <w:tc>
          <w:tcPr>
            <w:tcW w:w="2297" w:type="dxa"/>
          </w:tcPr>
          <w:p w14:paraId="414D29FE" w14:textId="2267E1FB" w:rsidR="00EF7734" w:rsidRPr="00D03FC8" w:rsidRDefault="00B9531E" w:rsidP="00B9531E">
            <w:pPr>
              <w:spacing w:after="120"/>
              <w:jc w:val="both"/>
              <w:rPr>
                <w:sz w:val="20"/>
              </w:rPr>
            </w:pPr>
            <w:r>
              <w:rPr>
                <w:sz w:val="20"/>
              </w:rPr>
              <w:t>+49,6</w:t>
            </w:r>
            <w:r w:rsidR="00130E8A">
              <w:rPr>
                <w:sz w:val="20"/>
              </w:rPr>
              <w:t xml:space="preserve"> (</w:t>
            </w:r>
            <w:r w:rsidR="00AB5FB1">
              <w:rPr>
                <w:sz w:val="20"/>
              </w:rPr>
              <w:t>-2,3</w:t>
            </w:r>
            <w:r w:rsidR="00130E8A">
              <w:rPr>
                <w:sz w:val="20"/>
              </w:rPr>
              <w:t>)</w:t>
            </w:r>
          </w:p>
        </w:tc>
        <w:tc>
          <w:tcPr>
            <w:tcW w:w="1843" w:type="dxa"/>
          </w:tcPr>
          <w:p w14:paraId="4850D256" w14:textId="03D53D55" w:rsidR="00EF7734" w:rsidRPr="00D03FC8" w:rsidRDefault="00B9531E" w:rsidP="00B9531E">
            <w:pPr>
              <w:spacing w:after="120"/>
              <w:jc w:val="both"/>
              <w:rPr>
                <w:sz w:val="20"/>
              </w:rPr>
            </w:pPr>
            <w:r>
              <w:rPr>
                <w:sz w:val="20"/>
              </w:rPr>
              <w:t>+4,0</w:t>
            </w:r>
            <w:r w:rsidR="00130E8A">
              <w:rPr>
                <w:sz w:val="20"/>
              </w:rPr>
              <w:t xml:space="preserve"> % (</w:t>
            </w:r>
            <w:r w:rsidR="00AB5FB1">
              <w:rPr>
                <w:sz w:val="20"/>
              </w:rPr>
              <w:t>-0,</w:t>
            </w:r>
            <w:r w:rsidR="00C669EA">
              <w:rPr>
                <w:sz w:val="20"/>
              </w:rPr>
              <w:t>2</w:t>
            </w:r>
            <w:r w:rsidR="00721CFC">
              <w:rPr>
                <w:sz w:val="20"/>
              </w:rPr>
              <w:t xml:space="preserve"> </w:t>
            </w:r>
            <w:r w:rsidR="00EF7734" w:rsidRPr="00D03FC8">
              <w:rPr>
                <w:sz w:val="20"/>
              </w:rPr>
              <w:t>%</w:t>
            </w:r>
            <w:r w:rsidR="00130E8A">
              <w:rPr>
                <w:sz w:val="20"/>
              </w:rPr>
              <w:t>)</w:t>
            </w:r>
          </w:p>
        </w:tc>
      </w:tr>
      <w:tr w:rsidR="00EF7734" w:rsidRPr="00D03FC8" w14:paraId="74283BD4" w14:textId="77777777" w:rsidTr="00C528AA">
        <w:tc>
          <w:tcPr>
            <w:tcW w:w="2518" w:type="dxa"/>
          </w:tcPr>
          <w:p w14:paraId="63A65CF1" w14:textId="77777777" w:rsidR="00EF7734" w:rsidRPr="00D03FC8" w:rsidRDefault="00EF7734" w:rsidP="007A57C9">
            <w:pPr>
              <w:spacing w:after="120"/>
              <w:jc w:val="both"/>
              <w:rPr>
                <w:sz w:val="20"/>
              </w:rPr>
            </w:pPr>
            <w:r w:rsidRPr="00D03FC8">
              <w:rPr>
                <w:sz w:val="20"/>
              </w:rPr>
              <w:t>Linköpings universitet</w:t>
            </w:r>
          </w:p>
        </w:tc>
        <w:tc>
          <w:tcPr>
            <w:tcW w:w="2297" w:type="dxa"/>
          </w:tcPr>
          <w:p w14:paraId="004867E4" w14:textId="07EC0054" w:rsidR="00EF7734" w:rsidRPr="00D03FC8" w:rsidRDefault="00B9531E" w:rsidP="00721CFC">
            <w:pPr>
              <w:spacing w:after="120"/>
              <w:jc w:val="both"/>
              <w:rPr>
                <w:sz w:val="20"/>
              </w:rPr>
            </w:pPr>
            <w:r>
              <w:rPr>
                <w:sz w:val="20"/>
              </w:rPr>
              <w:t>+5</w:t>
            </w:r>
            <w:r w:rsidR="00721CFC">
              <w:rPr>
                <w:sz w:val="20"/>
              </w:rPr>
              <w:t>6,0</w:t>
            </w:r>
            <w:r w:rsidR="00130E8A">
              <w:rPr>
                <w:sz w:val="20"/>
              </w:rPr>
              <w:t xml:space="preserve"> (</w:t>
            </w:r>
            <w:r w:rsidR="00EF7734" w:rsidRPr="00D03FC8">
              <w:rPr>
                <w:sz w:val="20"/>
              </w:rPr>
              <w:t>+</w:t>
            </w:r>
            <w:r w:rsidR="00AB5FB1">
              <w:rPr>
                <w:sz w:val="20"/>
              </w:rPr>
              <w:t>8,2</w:t>
            </w:r>
            <w:r w:rsidR="00130E8A">
              <w:rPr>
                <w:sz w:val="20"/>
              </w:rPr>
              <w:t>)</w:t>
            </w:r>
          </w:p>
        </w:tc>
        <w:tc>
          <w:tcPr>
            <w:tcW w:w="1843" w:type="dxa"/>
          </w:tcPr>
          <w:p w14:paraId="74C63D3D" w14:textId="6419049E" w:rsidR="00EF7734" w:rsidRPr="00D03FC8" w:rsidRDefault="00130E8A" w:rsidP="00B9531E">
            <w:pPr>
              <w:spacing w:after="120"/>
              <w:jc w:val="both"/>
              <w:rPr>
                <w:sz w:val="20"/>
              </w:rPr>
            </w:pPr>
            <w:r>
              <w:rPr>
                <w:sz w:val="20"/>
              </w:rPr>
              <w:t>+</w:t>
            </w:r>
            <w:r w:rsidR="00B9531E">
              <w:rPr>
                <w:sz w:val="20"/>
              </w:rPr>
              <w:t>4,1</w:t>
            </w:r>
            <w:r>
              <w:rPr>
                <w:sz w:val="20"/>
              </w:rPr>
              <w:t xml:space="preserve"> % (</w:t>
            </w:r>
            <w:r w:rsidR="00EF7734" w:rsidRPr="00D03FC8">
              <w:rPr>
                <w:sz w:val="20"/>
              </w:rPr>
              <w:t>+</w:t>
            </w:r>
            <w:r w:rsidR="00AB5FB1">
              <w:rPr>
                <w:sz w:val="20"/>
              </w:rPr>
              <w:t>0,6</w:t>
            </w:r>
            <w:r w:rsidR="00EF7734" w:rsidRPr="00D03FC8">
              <w:rPr>
                <w:sz w:val="20"/>
              </w:rPr>
              <w:t xml:space="preserve"> %</w:t>
            </w:r>
            <w:r>
              <w:rPr>
                <w:sz w:val="20"/>
              </w:rPr>
              <w:t>)</w:t>
            </w:r>
          </w:p>
        </w:tc>
      </w:tr>
      <w:tr w:rsidR="00EF7734" w:rsidRPr="00D03FC8" w14:paraId="1A45E74E" w14:textId="77777777" w:rsidTr="00C528AA">
        <w:tc>
          <w:tcPr>
            <w:tcW w:w="2518" w:type="dxa"/>
          </w:tcPr>
          <w:p w14:paraId="468C272E" w14:textId="4FAEF906" w:rsidR="00EF7734" w:rsidRPr="00D03FC8" w:rsidRDefault="00145314" w:rsidP="007A57C9">
            <w:pPr>
              <w:spacing w:after="120"/>
              <w:jc w:val="both"/>
              <w:rPr>
                <w:sz w:val="20"/>
              </w:rPr>
            </w:pPr>
            <w:r>
              <w:rPr>
                <w:sz w:val="20"/>
              </w:rPr>
              <w:t>Luleå tekn. u</w:t>
            </w:r>
            <w:r w:rsidR="007A57C9" w:rsidRPr="00D03FC8">
              <w:rPr>
                <w:sz w:val="20"/>
              </w:rPr>
              <w:t>niversitet</w:t>
            </w:r>
          </w:p>
        </w:tc>
        <w:tc>
          <w:tcPr>
            <w:tcW w:w="2297" w:type="dxa"/>
          </w:tcPr>
          <w:p w14:paraId="09C7F099" w14:textId="462B6EA7" w:rsidR="00EF7734" w:rsidRPr="00D03FC8" w:rsidRDefault="00B9531E" w:rsidP="00B9531E">
            <w:pPr>
              <w:spacing w:after="120"/>
              <w:jc w:val="both"/>
              <w:rPr>
                <w:sz w:val="20"/>
              </w:rPr>
            </w:pPr>
            <w:r>
              <w:rPr>
                <w:sz w:val="20"/>
              </w:rPr>
              <w:t>+5,4</w:t>
            </w:r>
            <w:r w:rsidR="00145314">
              <w:rPr>
                <w:sz w:val="20"/>
              </w:rPr>
              <w:t xml:space="preserve"> (</w:t>
            </w:r>
            <w:r w:rsidR="00C669EA">
              <w:rPr>
                <w:sz w:val="20"/>
              </w:rPr>
              <w:t>-8,3</w:t>
            </w:r>
            <w:r w:rsidR="00145314">
              <w:rPr>
                <w:sz w:val="20"/>
              </w:rPr>
              <w:t>)</w:t>
            </w:r>
          </w:p>
        </w:tc>
        <w:tc>
          <w:tcPr>
            <w:tcW w:w="1843" w:type="dxa"/>
          </w:tcPr>
          <w:p w14:paraId="5665CBBD" w14:textId="4BE78C78" w:rsidR="00EF7734" w:rsidRPr="00D03FC8" w:rsidRDefault="00B9531E" w:rsidP="00B9531E">
            <w:pPr>
              <w:spacing w:after="120"/>
              <w:jc w:val="both"/>
              <w:rPr>
                <w:sz w:val="20"/>
              </w:rPr>
            </w:pPr>
            <w:r>
              <w:rPr>
                <w:sz w:val="20"/>
              </w:rPr>
              <w:t>+0,9</w:t>
            </w:r>
            <w:r w:rsidR="00145314">
              <w:rPr>
                <w:sz w:val="20"/>
              </w:rPr>
              <w:t xml:space="preserve"> % </w:t>
            </w:r>
            <w:r w:rsidR="00C669EA">
              <w:rPr>
                <w:sz w:val="20"/>
              </w:rPr>
              <w:t>(-1,3</w:t>
            </w:r>
            <w:r w:rsidR="00EF7734" w:rsidRPr="00D03FC8">
              <w:rPr>
                <w:sz w:val="20"/>
              </w:rPr>
              <w:t xml:space="preserve"> %</w:t>
            </w:r>
            <w:r w:rsidR="00130E8A">
              <w:rPr>
                <w:sz w:val="20"/>
              </w:rPr>
              <w:t>)</w:t>
            </w:r>
          </w:p>
        </w:tc>
      </w:tr>
      <w:tr w:rsidR="00EF7734" w:rsidRPr="00D03FC8" w14:paraId="71FAF588" w14:textId="77777777" w:rsidTr="00C528AA">
        <w:tc>
          <w:tcPr>
            <w:tcW w:w="2518" w:type="dxa"/>
          </w:tcPr>
          <w:p w14:paraId="06C7666B" w14:textId="77777777" w:rsidR="00EF7734" w:rsidRPr="00D03FC8" w:rsidRDefault="00EF7734" w:rsidP="007A57C9">
            <w:pPr>
              <w:spacing w:after="120"/>
              <w:jc w:val="both"/>
              <w:rPr>
                <w:sz w:val="20"/>
              </w:rPr>
            </w:pPr>
            <w:r w:rsidRPr="00D03FC8">
              <w:rPr>
                <w:sz w:val="20"/>
              </w:rPr>
              <w:t>Mittuniversitetet</w:t>
            </w:r>
          </w:p>
        </w:tc>
        <w:tc>
          <w:tcPr>
            <w:tcW w:w="2297" w:type="dxa"/>
          </w:tcPr>
          <w:p w14:paraId="2AB0CA80" w14:textId="29709632" w:rsidR="00EF7734" w:rsidRPr="00D03FC8" w:rsidRDefault="00B9531E" w:rsidP="00B9531E">
            <w:pPr>
              <w:spacing w:after="120"/>
              <w:jc w:val="both"/>
              <w:rPr>
                <w:sz w:val="20"/>
              </w:rPr>
            </w:pPr>
            <w:r>
              <w:rPr>
                <w:sz w:val="20"/>
              </w:rPr>
              <w:t>-4,5</w:t>
            </w:r>
            <w:r w:rsidR="00716170">
              <w:rPr>
                <w:sz w:val="20"/>
              </w:rPr>
              <w:t xml:space="preserve"> (</w:t>
            </w:r>
            <w:r w:rsidR="00C669EA">
              <w:rPr>
                <w:sz w:val="20"/>
              </w:rPr>
              <w:t>-11,0</w:t>
            </w:r>
            <w:r w:rsidR="00716170">
              <w:rPr>
                <w:sz w:val="20"/>
              </w:rPr>
              <w:t>)</w:t>
            </w:r>
          </w:p>
        </w:tc>
        <w:tc>
          <w:tcPr>
            <w:tcW w:w="1843" w:type="dxa"/>
          </w:tcPr>
          <w:p w14:paraId="5B5549BE" w14:textId="3E8ED2C8" w:rsidR="00EF7734" w:rsidRPr="00D03FC8" w:rsidRDefault="00716170" w:rsidP="00B9531E">
            <w:pPr>
              <w:spacing w:after="120"/>
              <w:jc w:val="both"/>
              <w:rPr>
                <w:sz w:val="20"/>
              </w:rPr>
            </w:pPr>
            <w:r>
              <w:rPr>
                <w:sz w:val="20"/>
              </w:rPr>
              <w:t>-</w:t>
            </w:r>
            <w:r w:rsidR="00B9531E">
              <w:rPr>
                <w:sz w:val="20"/>
              </w:rPr>
              <w:t>0,9</w:t>
            </w:r>
            <w:r>
              <w:rPr>
                <w:sz w:val="20"/>
              </w:rPr>
              <w:t xml:space="preserve"> % </w:t>
            </w:r>
            <w:r w:rsidR="00130E8A">
              <w:rPr>
                <w:sz w:val="20"/>
              </w:rPr>
              <w:t>(</w:t>
            </w:r>
            <w:r w:rsidR="00C669EA">
              <w:rPr>
                <w:sz w:val="20"/>
              </w:rPr>
              <w:t>-2,1</w:t>
            </w:r>
            <w:r w:rsidR="00EF7734" w:rsidRPr="00D03FC8">
              <w:rPr>
                <w:sz w:val="20"/>
              </w:rPr>
              <w:t xml:space="preserve"> %</w:t>
            </w:r>
            <w:r w:rsidR="00130E8A">
              <w:rPr>
                <w:sz w:val="20"/>
              </w:rPr>
              <w:t>)</w:t>
            </w:r>
          </w:p>
        </w:tc>
      </w:tr>
    </w:tbl>
    <w:p w14:paraId="43AA57BE" w14:textId="77777777" w:rsidR="00EF7734" w:rsidRPr="003C14E8" w:rsidRDefault="00EF7734" w:rsidP="00C528AA">
      <w:pPr>
        <w:spacing w:after="120"/>
        <w:ind w:left="357"/>
        <w:jc w:val="both"/>
        <w:rPr>
          <w:highlight w:val="yellow"/>
        </w:rPr>
      </w:pPr>
    </w:p>
    <w:p w14:paraId="6ACE3351" w14:textId="1118708C" w:rsidR="00130E8A" w:rsidRDefault="00EF7734" w:rsidP="00130E8A">
      <w:pPr>
        <w:spacing w:after="0"/>
        <w:jc w:val="both"/>
        <w:rPr>
          <w:b/>
        </w:rPr>
      </w:pPr>
      <w:r w:rsidRPr="00130E8A">
        <w:rPr>
          <w:b/>
        </w:rPr>
        <w:t>2. Förändring 201</w:t>
      </w:r>
      <w:r w:rsidR="00B9531E">
        <w:rPr>
          <w:b/>
        </w:rPr>
        <w:t>6</w:t>
      </w:r>
      <w:r w:rsidRPr="00130E8A">
        <w:rPr>
          <w:b/>
        </w:rPr>
        <w:t xml:space="preserve"> av anslagen till forskning och forskarutbildning</w:t>
      </w:r>
    </w:p>
    <w:p w14:paraId="4309D21B" w14:textId="2DF243C8" w:rsidR="00130E8A" w:rsidRPr="00D03FC8" w:rsidRDefault="00130E8A" w:rsidP="00130E8A">
      <w:pPr>
        <w:spacing w:after="0"/>
        <w:jc w:val="both"/>
        <w:rPr>
          <w:b/>
          <w:sz w:val="22"/>
          <w:szCs w:val="22"/>
        </w:rPr>
      </w:pPr>
      <w:r w:rsidRPr="00D03FC8">
        <w:rPr>
          <w:b/>
          <w:sz w:val="22"/>
          <w:szCs w:val="22"/>
        </w:rPr>
        <w:t>(201</w:t>
      </w:r>
      <w:r w:rsidR="00721CFC">
        <w:rPr>
          <w:b/>
          <w:sz w:val="22"/>
          <w:szCs w:val="22"/>
        </w:rPr>
        <w:t>5</w:t>
      </w:r>
      <w:r w:rsidRPr="00D03FC8">
        <w:rPr>
          <w:b/>
          <w:sz w:val="22"/>
          <w:szCs w:val="22"/>
        </w:rPr>
        <w:t xml:space="preserve"> års förändring anges inom parantes)</w:t>
      </w:r>
    </w:p>
    <w:p w14:paraId="69F0EAF4" w14:textId="77777777" w:rsidR="00EF7734" w:rsidRPr="00C528AA" w:rsidRDefault="00EF7734" w:rsidP="00EF7734">
      <w:pPr>
        <w:spacing w:after="0"/>
        <w:jc w:val="both"/>
        <w:rPr>
          <w:b/>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8"/>
        <w:gridCol w:w="2297"/>
        <w:gridCol w:w="1843"/>
      </w:tblGrid>
      <w:tr w:rsidR="00EF7734" w:rsidRPr="00130E8A" w14:paraId="2345B961" w14:textId="77777777" w:rsidTr="00C528AA">
        <w:tc>
          <w:tcPr>
            <w:tcW w:w="2518" w:type="dxa"/>
            <w:shd w:val="clear" w:color="auto" w:fill="EEECE1" w:themeFill="background2"/>
          </w:tcPr>
          <w:p w14:paraId="5A726F2D" w14:textId="77777777" w:rsidR="00EF7734" w:rsidRPr="00130E8A" w:rsidRDefault="00EF7734" w:rsidP="007A57C9">
            <w:pPr>
              <w:spacing w:after="120"/>
              <w:jc w:val="both"/>
              <w:rPr>
                <w:b/>
                <w:sz w:val="20"/>
              </w:rPr>
            </w:pPr>
            <w:r w:rsidRPr="00130E8A">
              <w:rPr>
                <w:b/>
                <w:sz w:val="20"/>
              </w:rPr>
              <w:t>Lärosäte</w:t>
            </w:r>
          </w:p>
        </w:tc>
        <w:tc>
          <w:tcPr>
            <w:tcW w:w="2297" w:type="dxa"/>
            <w:shd w:val="clear" w:color="auto" w:fill="EEECE1" w:themeFill="background2"/>
          </w:tcPr>
          <w:p w14:paraId="731FF7B2" w14:textId="77777777" w:rsidR="00EF7734" w:rsidRPr="00130E8A" w:rsidRDefault="00EF7734" w:rsidP="007A57C9">
            <w:pPr>
              <w:spacing w:after="120"/>
              <w:jc w:val="both"/>
              <w:rPr>
                <w:b/>
                <w:sz w:val="20"/>
              </w:rPr>
            </w:pPr>
            <w:r w:rsidRPr="00130E8A">
              <w:rPr>
                <w:b/>
                <w:sz w:val="20"/>
              </w:rPr>
              <w:t>Förändring (mnkr)</w:t>
            </w:r>
          </w:p>
        </w:tc>
        <w:tc>
          <w:tcPr>
            <w:tcW w:w="1843" w:type="dxa"/>
            <w:shd w:val="clear" w:color="auto" w:fill="EEECE1" w:themeFill="background2"/>
          </w:tcPr>
          <w:p w14:paraId="2C6E6C83" w14:textId="77777777" w:rsidR="00EF7734" w:rsidRPr="00130E8A" w:rsidRDefault="00EF7734" w:rsidP="007A57C9">
            <w:pPr>
              <w:spacing w:after="120"/>
              <w:jc w:val="both"/>
              <w:rPr>
                <w:b/>
                <w:sz w:val="20"/>
              </w:rPr>
            </w:pPr>
            <w:r w:rsidRPr="00130E8A">
              <w:rPr>
                <w:b/>
                <w:sz w:val="20"/>
              </w:rPr>
              <w:t>Förändring i %</w:t>
            </w:r>
          </w:p>
        </w:tc>
      </w:tr>
      <w:tr w:rsidR="00EF7734" w:rsidRPr="00130E8A" w14:paraId="1A223119" w14:textId="77777777" w:rsidTr="00C528AA">
        <w:tc>
          <w:tcPr>
            <w:tcW w:w="2518" w:type="dxa"/>
          </w:tcPr>
          <w:p w14:paraId="44E58545" w14:textId="77777777" w:rsidR="00EF7734" w:rsidRPr="00130E8A" w:rsidRDefault="00EF7734" w:rsidP="007A57C9">
            <w:pPr>
              <w:spacing w:after="120"/>
              <w:jc w:val="both"/>
              <w:rPr>
                <w:sz w:val="20"/>
              </w:rPr>
            </w:pPr>
            <w:r w:rsidRPr="00130E8A">
              <w:rPr>
                <w:sz w:val="20"/>
              </w:rPr>
              <w:t>Umeå universitet</w:t>
            </w:r>
          </w:p>
        </w:tc>
        <w:tc>
          <w:tcPr>
            <w:tcW w:w="2297" w:type="dxa"/>
          </w:tcPr>
          <w:p w14:paraId="34368966" w14:textId="0F620F0E" w:rsidR="00EF7734" w:rsidRPr="00130E8A" w:rsidRDefault="00130E8A" w:rsidP="00D11A06">
            <w:pPr>
              <w:spacing w:after="120"/>
              <w:jc w:val="both"/>
              <w:rPr>
                <w:sz w:val="20"/>
              </w:rPr>
            </w:pPr>
            <w:r>
              <w:rPr>
                <w:sz w:val="20"/>
              </w:rPr>
              <w:t>+</w:t>
            </w:r>
            <w:r w:rsidR="00B9531E">
              <w:rPr>
                <w:sz w:val="20"/>
              </w:rPr>
              <w:t>19,1</w:t>
            </w:r>
            <w:r>
              <w:rPr>
                <w:sz w:val="20"/>
              </w:rPr>
              <w:t xml:space="preserve"> (</w:t>
            </w:r>
            <w:r w:rsidR="00EF7734" w:rsidRPr="00130E8A">
              <w:rPr>
                <w:sz w:val="20"/>
              </w:rPr>
              <w:t>+</w:t>
            </w:r>
            <w:r w:rsidR="00D11A06">
              <w:rPr>
                <w:sz w:val="20"/>
              </w:rPr>
              <w:t>7,2</w:t>
            </w:r>
            <w:r>
              <w:rPr>
                <w:sz w:val="20"/>
              </w:rPr>
              <w:t>)</w:t>
            </w:r>
          </w:p>
        </w:tc>
        <w:tc>
          <w:tcPr>
            <w:tcW w:w="1843" w:type="dxa"/>
          </w:tcPr>
          <w:p w14:paraId="2B41E606" w14:textId="00699DFE" w:rsidR="00EF7734" w:rsidRPr="00130E8A" w:rsidRDefault="00130E8A" w:rsidP="00B9531E">
            <w:pPr>
              <w:spacing w:after="120"/>
              <w:jc w:val="both"/>
              <w:rPr>
                <w:sz w:val="20"/>
              </w:rPr>
            </w:pPr>
            <w:r>
              <w:rPr>
                <w:sz w:val="20"/>
              </w:rPr>
              <w:t>+</w:t>
            </w:r>
            <w:r w:rsidR="00B9531E">
              <w:rPr>
                <w:sz w:val="20"/>
              </w:rPr>
              <w:t xml:space="preserve">1,8 </w:t>
            </w:r>
            <w:r>
              <w:rPr>
                <w:sz w:val="20"/>
              </w:rPr>
              <w:t>%</w:t>
            </w:r>
            <w:r w:rsidR="00716170">
              <w:rPr>
                <w:sz w:val="20"/>
              </w:rPr>
              <w:t xml:space="preserve"> </w:t>
            </w:r>
            <w:r>
              <w:rPr>
                <w:sz w:val="20"/>
              </w:rPr>
              <w:t>(</w:t>
            </w:r>
            <w:r w:rsidR="00B9531E">
              <w:rPr>
                <w:sz w:val="20"/>
              </w:rPr>
              <w:t>+0,7</w:t>
            </w:r>
            <w:r w:rsidR="00EF7734" w:rsidRPr="00130E8A">
              <w:rPr>
                <w:sz w:val="20"/>
              </w:rPr>
              <w:t xml:space="preserve"> %</w:t>
            </w:r>
            <w:r>
              <w:rPr>
                <w:sz w:val="20"/>
              </w:rPr>
              <w:t>)</w:t>
            </w:r>
          </w:p>
        </w:tc>
      </w:tr>
      <w:tr w:rsidR="00EF7734" w:rsidRPr="00130E8A" w14:paraId="0055475A" w14:textId="77777777" w:rsidTr="00C528AA">
        <w:tc>
          <w:tcPr>
            <w:tcW w:w="2518" w:type="dxa"/>
          </w:tcPr>
          <w:p w14:paraId="2CC25969" w14:textId="77777777" w:rsidR="00EF7734" w:rsidRPr="00130E8A" w:rsidRDefault="00EF7734" w:rsidP="007A57C9">
            <w:pPr>
              <w:spacing w:after="120"/>
              <w:jc w:val="both"/>
              <w:rPr>
                <w:sz w:val="20"/>
              </w:rPr>
            </w:pPr>
            <w:r w:rsidRPr="00130E8A">
              <w:rPr>
                <w:sz w:val="20"/>
              </w:rPr>
              <w:t>Linköpings universitet</w:t>
            </w:r>
          </w:p>
        </w:tc>
        <w:tc>
          <w:tcPr>
            <w:tcW w:w="2297" w:type="dxa"/>
          </w:tcPr>
          <w:p w14:paraId="36ECD601" w14:textId="6F4277B8" w:rsidR="00EF7734" w:rsidRPr="00130E8A" w:rsidRDefault="00130E8A" w:rsidP="00B9531E">
            <w:pPr>
              <w:spacing w:after="120"/>
              <w:jc w:val="both"/>
              <w:rPr>
                <w:sz w:val="20"/>
              </w:rPr>
            </w:pPr>
            <w:r w:rsidRPr="00130E8A">
              <w:rPr>
                <w:sz w:val="20"/>
              </w:rPr>
              <w:t>+</w:t>
            </w:r>
            <w:r w:rsidR="00B9531E">
              <w:rPr>
                <w:sz w:val="20"/>
              </w:rPr>
              <w:t>19,2</w:t>
            </w:r>
            <w:r w:rsidRPr="00130E8A">
              <w:rPr>
                <w:sz w:val="20"/>
              </w:rPr>
              <w:t xml:space="preserve"> (</w:t>
            </w:r>
            <w:r w:rsidR="00EF7734" w:rsidRPr="00130E8A">
              <w:rPr>
                <w:sz w:val="20"/>
              </w:rPr>
              <w:t>+</w:t>
            </w:r>
            <w:r w:rsidR="00B9531E">
              <w:rPr>
                <w:sz w:val="20"/>
              </w:rPr>
              <w:t>5,6</w:t>
            </w:r>
            <w:r w:rsidRPr="00130E8A">
              <w:rPr>
                <w:sz w:val="20"/>
              </w:rPr>
              <w:t>)</w:t>
            </w:r>
          </w:p>
        </w:tc>
        <w:tc>
          <w:tcPr>
            <w:tcW w:w="1843" w:type="dxa"/>
          </w:tcPr>
          <w:p w14:paraId="36DABB6E" w14:textId="76D2F1F1" w:rsidR="00EF7734" w:rsidRPr="00130E8A" w:rsidRDefault="00130E8A" w:rsidP="00B9531E">
            <w:pPr>
              <w:spacing w:after="120"/>
              <w:jc w:val="both"/>
              <w:rPr>
                <w:sz w:val="20"/>
              </w:rPr>
            </w:pPr>
            <w:r>
              <w:rPr>
                <w:sz w:val="20"/>
              </w:rPr>
              <w:t>+</w:t>
            </w:r>
            <w:r w:rsidR="00B9531E">
              <w:rPr>
                <w:sz w:val="20"/>
              </w:rPr>
              <w:t>2,4</w:t>
            </w:r>
            <w:r>
              <w:rPr>
                <w:sz w:val="20"/>
              </w:rPr>
              <w:t xml:space="preserve"> % </w:t>
            </w:r>
            <w:r w:rsidRPr="00130E8A">
              <w:rPr>
                <w:sz w:val="20"/>
              </w:rPr>
              <w:t>(</w:t>
            </w:r>
            <w:r w:rsidR="00EF7734" w:rsidRPr="00130E8A">
              <w:rPr>
                <w:sz w:val="20"/>
              </w:rPr>
              <w:t>+</w:t>
            </w:r>
            <w:r w:rsidR="00B9531E">
              <w:rPr>
                <w:sz w:val="20"/>
              </w:rPr>
              <w:t>0,7</w:t>
            </w:r>
            <w:r w:rsidR="00EF7734" w:rsidRPr="00130E8A">
              <w:rPr>
                <w:sz w:val="20"/>
              </w:rPr>
              <w:t xml:space="preserve"> %</w:t>
            </w:r>
            <w:r w:rsidRPr="00130E8A">
              <w:rPr>
                <w:sz w:val="20"/>
              </w:rPr>
              <w:t>)</w:t>
            </w:r>
          </w:p>
        </w:tc>
      </w:tr>
      <w:tr w:rsidR="00EF7734" w:rsidRPr="00145314" w14:paraId="504476C7" w14:textId="77777777" w:rsidTr="00C528AA">
        <w:tc>
          <w:tcPr>
            <w:tcW w:w="2518" w:type="dxa"/>
          </w:tcPr>
          <w:p w14:paraId="629EF9BF" w14:textId="7D670222" w:rsidR="00EF7734" w:rsidRPr="00145314" w:rsidRDefault="00145314" w:rsidP="007A57C9">
            <w:pPr>
              <w:spacing w:after="120"/>
              <w:jc w:val="both"/>
              <w:rPr>
                <w:sz w:val="20"/>
              </w:rPr>
            </w:pPr>
            <w:r>
              <w:rPr>
                <w:sz w:val="20"/>
              </w:rPr>
              <w:t>Luleå tekn. u</w:t>
            </w:r>
            <w:r w:rsidR="007A57C9" w:rsidRPr="00145314">
              <w:rPr>
                <w:sz w:val="20"/>
              </w:rPr>
              <w:t>niversitet</w:t>
            </w:r>
          </w:p>
        </w:tc>
        <w:tc>
          <w:tcPr>
            <w:tcW w:w="2297" w:type="dxa"/>
          </w:tcPr>
          <w:p w14:paraId="07DFFB1E" w14:textId="40CCBBB4" w:rsidR="00EF7734" w:rsidRPr="00145314" w:rsidRDefault="00145314" w:rsidP="00B9531E">
            <w:pPr>
              <w:spacing w:after="120"/>
              <w:jc w:val="both"/>
              <w:rPr>
                <w:sz w:val="20"/>
              </w:rPr>
            </w:pPr>
            <w:r>
              <w:rPr>
                <w:sz w:val="20"/>
              </w:rPr>
              <w:t>+</w:t>
            </w:r>
            <w:r w:rsidR="00B9531E">
              <w:rPr>
                <w:sz w:val="20"/>
              </w:rPr>
              <w:t>9,8</w:t>
            </w:r>
            <w:r>
              <w:rPr>
                <w:sz w:val="20"/>
              </w:rPr>
              <w:t xml:space="preserve"> </w:t>
            </w:r>
            <w:r w:rsidR="00130E8A" w:rsidRPr="00145314">
              <w:rPr>
                <w:sz w:val="20"/>
              </w:rPr>
              <w:t>(</w:t>
            </w:r>
            <w:r w:rsidR="00EF7734" w:rsidRPr="00145314">
              <w:rPr>
                <w:sz w:val="20"/>
              </w:rPr>
              <w:t>+</w:t>
            </w:r>
            <w:r w:rsidR="00B9531E">
              <w:rPr>
                <w:sz w:val="20"/>
              </w:rPr>
              <w:t>2,5</w:t>
            </w:r>
            <w:r w:rsidR="00130E8A" w:rsidRPr="00145314">
              <w:rPr>
                <w:sz w:val="20"/>
              </w:rPr>
              <w:t>)</w:t>
            </w:r>
          </w:p>
        </w:tc>
        <w:tc>
          <w:tcPr>
            <w:tcW w:w="1843" w:type="dxa"/>
          </w:tcPr>
          <w:p w14:paraId="36B170E3" w14:textId="4CE0E3BD" w:rsidR="00EF7734" w:rsidRPr="00145314" w:rsidRDefault="00145314" w:rsidP="00B9531E">
            <w:pPr>
              <w:spacing w:after="120"/>
              <w:jc w:val="both"/>
              <w:rPr>
                <w:sz w:val="20"/>
              </w:rPr>
            </w:pPr>
            <w:r>
              <w:rPr>
                <w:sz w:val="20"/>
              </w:rPr>
              <w:t>+</w:t>
            </w:r>
            <w:r w:rsidR="00B9531E">
              <w:rPr>
                <w:sz w:val="20"/>
              </w:rPr>
              <w:t>2,8</w:t>
            </w:r>
            <w:r>
              <w:rPr>
                <w:sz w:val="20"/>
              </w:rPr>
              <w:t xml:space="preserve"> %</w:t>
            </w:r>
            <w:r w:rsidR="00716170">
              <w:rPr>
                <w:sz w:val="20"/>
              </w:rPr>
              <w:t xml:space="preserve"> </w:t>
            </w:r>
            <w:r w:rsidR="00130E8A" w:rsidRPr="00145314">
              <w:rPr>
                <w:sz w:val="20"/>
              </w:rPr>
              <w:t>(</w:t>
            </w:r>
            <w:r w:rsidR="00EF7734" w:rsidRPr="00145314">
              <w:rPr>
                <w:sz w:val="20"/>
              </w:rPr>
              <w:t>+</w:t>
            </w:r>
            <w:r w:rsidR="00B9531E">
              <w:rPr>
                <w:sz w:val="20"/>
              </w:rPr>
              <w:t>0,7</w:t>
            </w:r>
            <w:r w:rsidR="00EF7734" w:rsidRPr="00145314">
              <w:rPr>
                <w:sz w:val="20"/>
              </w:rPr>
              <w:t xml:space="preserve"> %</w:t>
            </w:r>
            <w:r w:rsidR="00130E8A" w:rsidRPr="00145314">
              <w:rPr>
                <w:sz w:val="20"/>
              </w:rPr>
              <w:t>)</w:t>
            </w:r>
          </w:p>
        </w:tc>
      </w:tr>
      <w:tr w:rsidR="00EF7734" w:rsidRPr="00716170" w14:paraId="5D089462" w14:textId="77777777" w:rsidTr="00C528AA">
        <w:tc>
          <w:tcPr>
            <w:tcW w:w="2518" w:type="dxa"/>
          </w:tcPr>
          <w:p w14:paraId="6D8D809D" w14:textId="77777777" w:rsidR="00EF7734" w:rsidRPr="00716170" w:rsidRDefault="00EF7734" w:rsidP="007A57C9">
            <w:pPr>
              <w:spacing w:after="120"/>
              <w:jc w:val="both"/>
              <w:rPr>
                <w:sz w:val="20"/>
              </w:rPr>
            </w:pPr>
            <w:r w:rsidRPr="00716170">
              <w:rPr>
                <w:sz w:val="20"/>
              </w:rPr>
              <w:t>Mittuniversitetet</w:t>
            </w:r>
          </w:p>
        </w:tc>
        <w:tc>
          <w:tcPr>
            <w:tcW w:w="2297" w:type="dxa"/>
          </w:tcPr>
          <w:p w14:paraId="688BFC72" w14:textId="54A6EF9D" w:rsidR="00EF7734" w:rsidRPr="00716170" w:rsidRDefault="00B9531E" w:rsidP="00B9531E">
            <w:pPr>
              <w:spacing w:after="120"/>
              <w:jc w:val="both"/>
              <w:rPr>
                <w:sz w:val="20"/>
              </w:rPr>
            </w:pPr>
            <w:r>
              <w:rPr>
                <w:sz w:val="20"/>
              </w:rPr>
              <w:t>+24,0</w:t>
            </w:r>
            <w:r w:rsidR="00716170">
              <w:rPr>
                <w:sz w:val="20"/>
              </w:rPr>
              <w:t xml:space="preserve"> </w:t>
            </w:r>
            <w:r w:rsidR="00130E8A" w:rsidRPr="00716170">
              <w:rPr>
                <w:sz w:val="20"/>
              </w:rPr>
              <w:t>(</w:t>
            </w:r>
            <w:r w:rsidR="00EF7734" w:rsidRPr="00716170">
              <w:rPr>
                <w:sz w:val="20"/>
              </w:rPr>
              <w:t>+</w:t>
            </w:r>
            <w:r>
              <w:rPr>
                <w:sz w:val="20"/>
              </w:rPr>
              <w:t>1,4</w:t>
            </w:r>
            <w:r w:rsidR="00130E8A" w:rsidRPr="00716170">
              <w:rPr>
                <w:sz w:val="20"/>
              </w:rPr>
              <w:t>)</w:t>
            </w:r>
          </w:p>
        </w:tc>
        <w:tc>
          <w:tcPr>
            <w:tcW w:w="1843" w:type="dxa"/>
          </w:tcPr>
          <w:p w14:paraId="5D609387" w14:textId="3BAE228E" w:rsidR="00EF7734" w:rsidRPr="00716170" w:rsidRDefault="00B9531E" w:rsidP="00B9531E">
            <w:pPr>
              <w:spacing w:after="120"/>
              <w:jc w:val="both"/>
              <w:rPr>
                <w:sz w:val="20"/>
              </w:rPr>
            </w:pPr>
            <w:r>
              <w:rPr>
                <w:sz w:val="20"/>
              </w:rPr>
              <w:t>+11,6</w:t>
            </w:r>
            <w:r w:rsidR="00716170">
              <w:rPr>
                <w:sz w:val="20"/>
              </w:rPr>
              <w:t xml:space="preserve"> % </w:t>
            </w:r>
            <w:r w:rsidR="00130E8A" w:rsidRPr="00716170">
              <w:rPr>
                <w:sz w:val="20"/>
              </w:rPr>
              <w:t>(</w:t>
            </w:r>
            <w:r w:rsidR="00EF7734" w:rsidRPr="00716170">
              <w:rPr>
                <w:sz w:val="20"/>
              </w:rPr>
              <w:t>+</w:t>
            </w:r>
            <w:r>
              <w:rPr>
                <w:sz w:val="20"/>
              </w:rPr>
              <w:t>0,7</w:t>
            </w:r>
            <w:r w:rsidR="00EF7734" w:rsidRPr="00716170">
              <w:rPr>
                <w:sz w:val="20"/>
              </w:rPr>
              <w:t xml:space="preserve"> %</w:t>
            </w:r>
            <w:r w:rsidR="00130E8A" w:rsidRPr="00716170">
              <w:rPr>
                <w:sz w:val="20"/>
              </w:rPr>
              <w:t>)</w:t>
            </w:r>
          </w:p>
        </w:tc>
      </w:tr>
    </w:tbl>
    <w:p w14:paraId="2D31547C" w14:textId="77777777" w:rsidR="00EF7734" w:rsidRPr="003C14E8" w:rsidRDefault="00EF7734" w:rsidP="00C528AA">
      <w:pPr>
        <w:spacing w:after="120"/>
        <w:jc w:val="both"/>
        <w:rPr>
          <w:highlight w:val="yellow"/>
        </w:rPr>
      </w:pPr>
    </w:p>
    <w:p w14:paraId="5882ED91" w14:textId="77777777" w:rsidR="00EF7734" w:rsidRPr="00716170" w:rsidRDefault="00EF7734" w:rsidP="00EF7734">
      <w:pPr>
        <w:spacing w:after="0"/>
        <w:jc w:val="both"/>
        <w:rPr>
          <w:b/>
        </w:rPr>
      </w:pPr>
      <w:r w:rsidRPr="00716170">
        <w:rPr>
          <w:b/>
        </w:rPr>
        <w:t>3. Anslag grundutbildning (exkl. särskilda åtaganden)</w:t>
      </w:r>
    </w:p>
    <w:p w14:paraId="31E0A952" w14:textId="77777777" w:rsidR="00EF7734" w:rsidRPr="00C528AA" w:rsidRDefault="00EF7734" w:rsidP="00EF7734">
      <w:pPr>
        <w:spacing w:after="0"/>
        <w:jc w:val="both"/>
        <w:rPr>
          <w:b/>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6"/>
        <w:gridCol w:w="1669"/>
        <w:gridCol w:w="1669"/>
        <w:gridCol w:w="1669"/>
        <w:gridCol w:w="1701"/>
      </w:tblGrid>
      <w:tr w:rsidR="00B9531E" w:rsidRPr="00716170" w14:paraId="00C9317E" w14:textId="77777777" w:rsidTr="00B9531E">
        <w:tc>
          <w:tcPr>
            <w:tcW w:w="2346" w:type="dxa"/>
          </w:tcPr>
          <w:p w14:paraId="12CC79DF" w14:textId="77777777" w:rsidR="00B9531E" w:rsidRPr="00716170" w:rsidRDefault="00B9531E" w:rsidP="00B9531E">
            <w:pPr>
              <w:spacing w:after="120"/>
              <w:jc w:val="both"/>
              <w:rPr>
                <w:b/>
                <w:sz w:val="20"/>
              </w:rPr>
            </w:pPr>
            <w:r w:rsidRPr="00716170">
              <w:rPr>
                <w:b/>
                <w:sz w:val="20"/>
              </w:rPr>
              <w:t>Lärosäte</w:t>
            </w:r>
          </w:p>
        </w:tc>
        <w:tc>
          <w:tcPr>
            <w:tcW w:w="1669" w:type="dxa"/>
            <w:shd w:val="clear" w:color="auto" w:fill="auto"/>
          </w:tcPr>
          <w:p w14:paraId="496C13A3" w14:textId="667630BA" w:rsidR="00B9531E" w:rsidRPr="00716170" w:rsidRDefault="00B9531E" w:rsidP="00B9531E">
            <w:pPr>
              <w:spacing w:after="120"/>
              <w:jc w:val="both"/>
              <w:rPr>
                <w:b/>
                <w:sz w:val="20"/>
              </w:rPr>
            </w:pPr>
            <w:r w:rsidRPr="00716170">
              <w:rPr>
                <w:b/>
                <w:sz w:val="20"/>
              </w:rPr>
              <w:t>201</w:t>
            </w:r>
            <w:r>
              <w:rPr>
                <w:b/>
                <w:sz w:val="20"/>
              </w:rPr>
              <w:t>5</w:t>
            </w:r>
            <w:r w:rsidRPr="00716170">
              <w:rPr>
                <w:b/>
                <w:sz w:val="20"/>
              </w:rPr>
              <w:t xml:space="preserve"> (mnkr)</w:t>
            </w:r>
          </w:p>
        </w:tc>
        <w:tc>
          <w:tcPr>
            <w:tcW w:w="1669" w:type="dxa"/>
            <w:shd w:val="clear" w:color="auto" w:fill="EEECE1"/>
          </w:tcPr>
          <w:p w14:paraId="523A33D3" w14:textId="0BD54D93" w:rsidR="00B9531E" w:rsidRPr="00716170" w:rsidRDefault="00B9531E" w:rsidP="00B9531E">
            <w:pPr>
              <w:spacing w:after="120"/>
              <w:jc w:val="both"/>
              <w:rPr>
                <w:b/>
                <w:sz w:val="20"/>
              </w:rPr>
            </w:pPr>
            <w:r w:rsidRPr="00716170">
              <w:rPr>
                <w:b/>
                <w:sz w:val="20"/>
              </w:rPr>
              <w:t>201</w:t>
            </w:r>
            <w:r>
              <w:rPr>
                <w:b/>
                <w:sz w:val="20"/>
              </w:rPr>
              <w:t>6</w:t>
            </w:r>
            <w:r w:rsidRPr="00716170">
              <w:rPr>
                <w:b/>
                <w:sz w:val="20"/>
              </w:rPr>
              <w:t xml:space="preserve"> (mnkr)</w:t>
            </w:r>
          </w:p>
        </w:tc>
        <w:tc>
          <w:tcPr>
            <w:tcW w:w="1669" w:type="dxa"/>
          </w:tcPr>
          <w:p w14:paraId="1DE2F6CD" w14:textId="56054D0C" w:rsidR="00B9531E" w:rsidRPr="00716170" w:rsidRDefault="00B9531E" w:rsidP="00B9531E">
            <w:pPr>
              <w:spacing w:after="120"/>
              <w:jc w:val="both"/>
              <w:rPr>
                <w:b/>
                <w:sz w:val="20"/>
              </w:rPr>
            </w:pPr>
            <w:r w:rsidRPr="00716170">
              <w:rPr>
                <w:b/>
                <w:sz w:val="20"/>
              </w:rPr>
              <w:t>2</w:t>
            </w:r>
            <w:r>
              <w:rPr>
                <w:b/>
                <w:sz w:val="20"/>
              </w:rPr>
              <w:t xml:space="preserve">017 </w:t>
            </w:r>
            <w:r w:rsidRPr="00716170">
              <w:rPr>
                <w:b/>
                <w:sz w:val="20"/>
              </w:rPr>
              <w:t>(mnkr)</w:t>
            </w:r>
          </w:p>
        </w:tc>
        <w:tc>
          <w:tcPr>
            <w:tcW w:w="1701" w:type="dxa"/>
          </w:tcPr>
          <w:p w14:paraId="2722E573" w14:textId="6038F0BE" w:rsidR="00B9531E" w:rsidRPr="00716170" w:rsidRDefault="00B9531E" w:rsidP="00B9531E">
            <w:pPr>
              <w:spacing w:after="120"/>
              <w:jc w:val="both"/>
              <w:rPr>
                <w:b/>
                <w:sz w:val="20"/>
              </w:rPr>
            </w:pPr>
            <w:r w:rsidRPr="00716170">
              <w:rPr>
                <w:b/>
                <w:sz w:val="20"/>
              </w:rPr>
              <w:t>2</w:t>
            </w:r>
            <w:r>
              <w:rPr>
                <w:b/>
                <w:sz w:val="20"/>
              </w:rPr>
              <w:t xml:space="preserve">018 </w:t>
            </w:r>
            <w:r w:rsidRPr="00716170">
              <w:rPr>
                <w:b/>
                <w:sz w:val="20"/>
              </w:rPr>
              <w:t>(mnkr)</w:t>
            </w:r>
          </w:p>
        </w:tc>
      </w:tr>
      <w:tr w:rsidR="00B9531E" w:rsidRPr="00716170" w14:paraId="44B19124" w14:textId="77777777" w:rsidTr="00B9531E">
        <w:tc>
          <w:tcPr>
            <w:tcW w:w="2346" w:type="dxa"/>
          </w:tcPr>
          <w:p w14:paraId="417C518A" w14:textId="77777777" w:rsidR="00B9531E" w:rsidRPr="00716170" w:rsidRDefault="00B9531E" w:rsidP="00B9531E">
            <w:pPr>
              <w:spacing w:after="120"/>
              <w:jc w:val="both"/>
              <w:rPr>
                <w:sz w:val="20"/>
              </w:rPr>
            </w:pPr>
            <w:r w:rsidRPr="00716170">
              <w:rPr>
                <w:sz w:val="20"/>
              </w:rPr>
              <w:t>Umeå universitet</w:t>
            </w:r>
          </w:p>
        </w:tc>
        <w:tc>
          <w:tcPr>
            <w:tcW w:w="1669" w:type="dxa"/>
            <w:shd w:val="clear" w:color="auto" w:fill="auto"/>
          </w:tcPr>
          <w:p w14:paraId="5950FFC3" w14:textId="26200F79" w:rsidR="00B9531E" w:rsidRPr="00716170" w:rsidRDefault="00B9531E" w:rsidP="00B9531E">
            <w:pPr>
              <w:spacing w:after="120"/>
              <w:jc w:val="both"/>
              <w:rPr>
                <w:sz w:val="20"/>
              </w:rPr>
            </w:pPr>
            <w:r>
              <w:rPr>
                <w:sz w:val="20"/>
              </w:rPr>
              <w:t>1 252</w:t>
            </w:r>
          </w:p>
        </w:tc>
        <w:tc>
          <w:tcPr>
            <w:tcW w:w="1669" w:type="dxa"/>
            <w:shd w:val="clear" w:color="auto" w:fill="EEECE1"/>
          </w:tcPr>
          <w:p w14:paraId="1370BEF9" w14:textId="55C009E4" w:rsidR="00B9531E" w:rsidRPr="00716170" w:rsidRDefault="00B9531E" w:rsidP="00B9531E">
            <w:pPr>
              <w:spacing w:after="120"/>
              <w:jc w:val="both"/>
              <w:rPr>
                <w:sz w:val="20"/>
              </w:rPr>
            </w:pPr>
            <w:r>
              <w:rPr>
                <w:sz w:val="20"/>
              </w:rPr>
              <w:t>1 301</w:t>
            </w:r>
          </w:p>
        </w:tc>
        <w:tc>
          <w:tcPr>
            <w:tcW w:w="1669" w:type="dxa"/>
          </w:tcPr>
          <w:p w14:paraId="675B15D8" w14:textId="06551EAC" w:rsidR="00B9531E" w:rsidRPr="00716170" w:rsidRDefault="00B9531E" w:rsidP="00B9531E">
            <w:pPr>
              <w:spacing w:after="120"/>
              <w:jc w:val="both"/>
              <w:rPr>
                <w:sz w:val="20"/>
              </w:rPr>
            </w:pPr>
            <w:r>
              <w:rPr>
                <w:sz w:val="20"/>
              </w:rPr>
              <w:t>1 326</w:t>
            </w:r>
          </w:p>
        </w:tc>
        <w:tc>
          <w:tcPr>
            <w:tcW w:w="1701" w:type="dxa"/>
          </w:tcPr>
          <w:p w14:paraId="2C61F2EF" w14:textId="14AD0A3A" w:rsidR="00B9531E" w:rsidRPr="00716170" w:rsidRDefault="00B9531E" w:rsidP="00B9531E">
            <w:pPr>
              <w:spacing w:after="120"/>
              <w:jc w:val="both"/>
              <w:rPr>
                <w:sz w:val="20"/>
              </w:rPr>
            </w:pPr>
            <w:r>
              <w:rPr>
                <w:sz w:val="20"/>
              </w:rPr>
              <w:t>1 359</w:t>
            </w:r>
          </w:p>
        </w:tc>
      </w:tr>
      <w:tr w:rsidR="00B9531E" w:rsidRPr="00716170" w14:paraId="4C1005FE" w14:textId="77777777" w:rsidTr="00B9531E">
        <w:tc>
          <w:tcPr>
            <w:tcW w:w="2346" w:type="dxa"/>
          </w:tcPr>
          <w:p w14:paraId="6B19F581" w14:textId="77777777" w:rsidR="00B9531E" w:rsidRPr="00716170" w:rsidRDefault="00B9531E" w:rsidP="00B9531E">
            <w:pPr>
              <w:spacing w:after="120"/>
              <w:jc w:val="both"/>
              <w:rPr>
                <w:sz w:val="20"/>
              </w:rPr>
            </w:pPr>
            <w:r w:rsidRPr="00716170">
              <w:rPr>
                <w:sz w:val="20"/>
              </w:rPr>
              <w:t>Linköpings universitet</w:t>
            </w:r>
          </w:p>
        </w:tc>
        <w:tc>
          <w:tcPr>
            <w:tcW w:w="1669" w:type="dxa"/>
            <w:shd w:val="clear" w:color="auto" w:fill="auto"/>
          </w:tcPr>
          <w:p w14:paraId="5DEC577D" w14:textId="11F3898A" w:rsidR="00B9531E" w:rsidRPr="00716170" w:rsidRDefault="00B9531E" w:rsidP="00B9531E">
            <w:pPr>
              <w:spacing w:after="120"/>
              <w:jc w:val="both"/>
              <w:rPr>
                <w:sz w:val="20"/>
              </w:rPr>
            </w:pPr>
            <w:r>
              <w:rPr>
                <w:sz w:val="20"/>
              </w:rPr>
              <w:t>1 379</w:t>
            </w:r>
          </w:p>
        </w:tc>
        <w:tc>
          <w:tcPr>
            <w:tcW w:w="1669" w:type="dxa"/>
            <w:shd w:val="clear" w:color="auto" w:fill="EEECE1"/>
          </w:tcPr>
          <w:p w14:paraId="4EE5398A" w14:textId="46F035E5" w:rsidR="00B9531E" w:rsidRPr="00716170" w:rsidRDefault="00B9531E" w:rsidP="00B9531E">
            <w:pPr>
              <w:spacing w:after="120"/>
              <w:jc w:val="both"/>
              <w:rPr>
                <w:sz w:val="20"/>
              </w:rPr>
            </w:pPr>
            <w:r>
              <w:rPr>
                <w:sz w:val="20"/>
              </w:rPr>
              <w:t>1 435</w:t>
            </w:r>
          </w:p>
        </w:tc>
        <w:tc>
          <w:tcPr>
            <w:tcW w:w="1669" w:type="dxa"/>
          </w:tcPr>
          <w:p w14:paraId="4ADD48E3" w14:textId="085065F7" w:rsidR="00B9531E" w:rsidRPr="00716170" w:rsidRDefault="00B9531E" w:rsidP="00B9531E">
            <w:pPr>
              <w:spacing w:after="120"/>
              <w:jc w:val="both"/>
              <w:rPr>
                <w:sz w:val="20"/>
              </w:rPr>
            </w:pPr>
            <w:r>
              <w:rPr>
                <w:sz w:val="20"/>
              </w:rPr>
              <w:t>1 472</w:t>
            </w:r>
          </w:p>
        </w:tc>
        <w:tc>
          <w:tcPr>
            <w:tcW w:w="1701" w:type="dxa"/>
          </w:tcPr>
          <w:p w14:paraId="2641F991" w14:textId="0F646B0F" w:rsidR="00B9531E" w:rsidRPr="00716170" w:rsidRDefault="00B9531E" w:rsidP="00B9531E">
            <w:pPr>
              <w:spacing w:after="120"/>
              <w:jc w:val="both"/>
              <w:rPr>
                <w:sz w:val="20"/>
              </w:rPr>
            </w:pPr>
            <w:r>
              <w:rPr>
                <w:sz w:val="20"/>
              </w:rPr>
              <w:t>1 511</w:t>
            </w:r>
          </w:p>
        </w:tc>
      </w:tr>
      <w:tr w:rsidR="00B9531E" w:rsidRPr="00716170" w14:paraId="29E3EEE1" w14:textId="77777777" w:rsidTr="00B9531E">
        <w:tc>
          <w:tcPr>
            <w:tcW w:w="2346" w:type="dxa"/>
          </w:tcPr>
          <w:p w14:paraId="1DC2C4B5" w14:textId="5506BF58" w:rsidR="00B9531E" w:rsidRPr="00716170" w:rsidRDefault="00B9531E" w:rsidP="00B9531E">
            <w:pPr>
              <w:spacing w:after="120"/>
              <w:jc w:val="both"/>
              <w:rPr>
                <w:sz w:val="20"/>
              </w:rPr>
            </w:pPr>
            <w:r w:rsidRPr="00716170">
              <w:rPr>
                <w:sz w:val="20"/>
              </w:rPr>
              <w:t>Luleå tekn. universitet</w:t>
            </w:r>
          </w:p>
        </w:tc>
        <w:tc>
          <w:tcPr>
            <w:tcW w:w="1669" w:type="dxa"/>
            <w:shd w:val="clear" w:color="auto" w:fill="auto"/>
          </w:tcPr>
          <w:p w14:paraId="540108A7" w14:textId="5839D0B7" w:rsidR="00B9531E" w:rsidRPr="00716170" w:rsidRDefault="00B9531E" w:rsidP="00B9531E">
            <w:pPr>
              <w:spacing w:after="120"/>
              <w:jc w:val="both"/>
              <w:rPr>
                <w:sz w:val="20"/>
              </w:rPr>
            </w:pPr>
            <w:r>
              <w:rPr>
                <w:sz w:val="20"/>
              </w:rPr>
              <w:t xml:space="preserve">  630</w:t>
            </w:r>
          </w:p>
        </w:tc>
        <w:tc>
          <w:tcPr>
            <w:tcW w:w="1669" w:type="dxa"/>
            <w:shd w:val="clear" w:color="auto" w:fill="EEECE1"/>
          </w:tcPr>
          <w:p w14:paraId="46B5D1A6" w14:textId="3D08D439" w:rsidR="00B9531E" w:rsidRPr="00716170" w:rsidRDefault="00B9531E" w:rsidP="00B9531E">
            <w:pPr>
              <w:spacing w:after="120"/>
              <w:jc w:val="both"/>
              <w:rPr>
                <w:sz w:val="20"/>
              </w:rPr>
            </w:pPr>
            <w:r>
              <w:rPr>
                <w:sz w:val="20"/>
              </w:rPr>
              <w:t xml:space="preserve">   635</w:t>
            </w:r>
          </w:p>
        </w:tc>
        <w:tc>
          <w:tcPr>
            <w:tcW w:w="1669" w:type="dxa"/>
          </w:tcPr>
          <w:p w14:paraId="4838A51F" w14:textId="3979C852" w:rsidR="00B9531E" w:rsidRPr="00716170" w:rsidRDefault="00B9531E" w:rsidP="00B9531E">
            <w:pPr>
              <w:spacing w:after="120"/>
              <w:jc w:val="both"/>
              <w:rPr>
                <w:sz w:val="20"/>
              </w:rPr>
            </w:pPr>
            <w:r>
              <w:rPr>
                <w:sz w:val="20"/>
              </w:rPr>
              <w:t xml:space="preserve">  639</w:t>
            </w:r>
          </w:p>
        </w:tc>
        <w:tc>
          <w:tcPr>
            <w:tcW w:w="1701" w:type="dxa"/>
          </w:tcPr>
          <w:p w14:paraId="40236B9B" w14:textId="1006B587" w:rsidR="00B9531E" w:rsidRPr="00716170" w:rsidRDefault="00B9531E" w:rsidP="00B9531E">
            <w:pPr>
              <w:spacing w:after="120"/>
              <w:jc w:val="both"/>
              <w:rPr>
                <w:sz w:val="20"/>
              </w:rPr>
            </w:pPr>
            <w:r>
              <w:rPr>
                <w:sz w:val="20"/>
              </w:rPr>
              <w:t xml:space="preserve">  653</w:t>
            </w:r>
          </w:p>
        </w:tc>
      </w:tr>
      <w:tr w:rsidR="009E452F" w:rsidRPr="00716170" w14:paraId="2BC3DE27" w14:textId="77777777" w:rsidTr="00B9531E">
        <w:tc>
          <w:tcPr>
            <w:tcW w:w="2346" w:type="dxa"/>
          </w:tcPr>
          <w:p w14:paraId="284FF1DA" w14:textId="77777777" w:rsidR="009E452F" w:rsidRPr="00716170" w:rsidRDefault="009E452F" w:rsidP="009E452F">
            <w:pPr>
              <w:spacing w:after="120"/>
              <w:jc w:val="both"/>
              <w:rPr>
                <w:sz w:val="20"/>
              </w:rPr>
            </w:pPr>
            <w:r w:rsidRPr="00716170">
              <w:rPr>
                <w:sz w:val="20"/>
              </w:rPr>
              <w:t>Mittuniversitetet</w:t>
            </w:r>
          </w:p>
        </w:tc>
        <w:tc>
          <w:tcPr>
            <w:tcW w:w="1669" w:type="dxa"/>
            <w:shd w:val="clear" w:color="auto" w:fill="auto"/>
          </w:tcPr>
          <w:p w14:paraId="1DFDEFF2" w14:textId="2E7EDF0D" w:rsidR="009E452F" w:rsidRPr="00716170" w:rsidRDefault="009E452F" w:rsidP="009E452F">
            <w:pPr>
              <w:spacing w:after="120"/>
              <w:jc w:val="both"/>
              <w:rPr>
                <w:sz w:val="20"/>
              </w:rPr>
            </w:pPr>
            <w:r>
              <w:rPr>
                <w:sz w:val="20"/>
              </w:rPr>
              <w:t xml:space="preserve">  523</w:t>
            </w:r>
          </w:p>
        </w:tc>
        <w:tc>
          <w:tcPr>
            <w:tcW w:w="1669" w:type="dxa"/>
            <w:shd w:val="clear" w:color="auto" w:fill="EEECE1"/>
          </w:tcPr>
          <w:p w14:paraId="31EACFC9" w14:textId="543FB868" w:rsidR="009E452F" w:rsidRPr="00716170" w:rsidRDefault="009E452F" w:rsidP="009E452F">
            <w:pPr>
              <w:spacing w:after="120"/>
              <w:jc w:val="both"/>
              <w:rPr>
                <w:sz w:val="20"/>
              </w:rPr>
            </w:pPr>
            <w:r>
              <w:rPr>
                <w:sz w:val="20"/>
              </w:rPr>
              <w:t xml:space="preserve">   518</w:t>
            </w:r>
          </w:p>
        </w:tc>
        <w:tc>
          <w:tcPr>
            <w:tcW w:w="1669" w:type="dxa"/>
          </w:tcPr>
          <w:p w14:paraId="183226B1" w14:textId="2B9260F3" w:rsidR="009E452F" w:rsidRPr="00716170" w:rsidRDefault="009E452F" w:rsidP="009E452F">
            <w:pPr>
              <w:spacing w:after="120"/>
              <w:jc w:val="both"/>
              <w:rPr>
                <w:sz w:val="20"/>
              </w:rPr>
            </w:pPr>
            <w:r>
              <w:rPr>
                <w:sz w:val="20"/>
              </w:rPr>
              <w:t xml:space="preserve">  521</w:t>
            </w:r>
          </w:p>
        </w:tc>
        <w:tc>
          <w:tcPr>
            <w:tcW w:w="1701" w:type="dxa"/>
          </w:tcPr>
          <w:p w14:paraId="57031184" w14:textId="299E04B9" w:rsidR="009E452F" w:rsidRPr="00716170" w:rsidRDefault="009E452F" w:rsidP="009E452F">
            <w:pPr>
              <w:spacing w:after="120"/>
              <w:jc w:val="both"/>
              <w:rPr>
                <w:sz w:val="20"/>
              </w:rPr>
            </w:pPr>
            <w:r>
              <w:rPr>
                <w:sz w:val="20"/>
              </w:rPr>
              <w:t xml:space="preserve">   531</w:t>
            </w:r>
          </w:p>
        </w:tc>
      </w:tr>
    </w:tbl>
    <w:p w14:paraId="142E58E9" w14:textId="77777777" w:rsidR="00EF7734" w:rsidRPr="003C14E8" w:rsidRDefault="00EF7734" w:rsidP="00C528AA">
      <w:pPr>
        <w:spacing w:after="120"/>
        <w:jc w:val="both"/>
        <w:rPr>
          <w:highlight w:val="yellow"/>
        </w:rPr>
      </w:pPr>
    </w:p>
    <w:p w14:paraId="511594D9" w14:textId="77777777" w:rsidR="00EF7734" w:rsidRPr="00716170" w:rsidRDefault="00EF7734" w:rsidP="00EF7734">
      <w:pPr>
        <w:spacing w:after="0"/>
        <w:jc w:val="both"/>
        <w:rPr>
          <w:b/>
        </w:rPr>
      </w:pPr>
      <w:r w:rsidRPr="00716170">
        <w:rPr>
          <w:b/>
        </w:rPr>
        <w:t>4. Anslag forskning/forskarutbildning</w:t>
      </w:r>
    </w:p>
    <w:p w14:paraId="43FC1722" w14:textId="77777777" w:rsidR="00EF7734" w:rsidRPr="00C528AA" w:rsidRDefault="00EF7734" w:rsidP="00EF7734">
      <w:pPr>
        <w:spacing w:after="0"/>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6"/>
        <w:gridCol w:w="1669"/>
        <w:gridCol w:w="1669"/>
        <w:gridCol w:w="1669"/>
        <w:gridCol w:w="1701"/>
      </w:tblGrid>
      <w:tr w:rsidR="00B9531E" w:rsidRPr="00716170" w14:paraId="347E9342" w14:textId="77777777" w:rsidTr="00B9531E">
        <w:tc>
          <w:tcPr>
            <w:tcW w:w="2346" w:type="dxa"/>
          </w:tcPr>
          <w:p w14:paraId="39104613" w14:textId="77777777" w:rsidR="00B9531E" w:rsidRPr="00716170" w:rsidRDefault="00B9531E" w:rsidP="00B9531E">
            <w:pPr>
              <w:spacing w:after="120"/>
              <w:jc w:val="both"/>
              <w:rPr>
                <w:b/>
                <w:sz w:val="20"/>
              </w:rPr>
            </w:pPr>
            <w:r w:rsidRPr="00716170">
              <w:rPr>
                <w:b/>
                <w:sz w:val="20"/>
              </w:rPr>
              <w:t>Lärosäte</w:t>
            </w:r>
          </w:p>
        </w:tc>
        <w:tc>
          <w:tcPr>
            <w:tcW w:w="1669" w:type="dxa"/>
            <w:shd w:val="clear" w:color="auto" w:fill="auto"/>
          </w:tcPr>
          <w:p w14:paraId="405D0EC2" w14:textId="4C95882E" w:rsidR="00B9531E" w:rsidRPr="00716170" w:rsidRDefault="00B9531E" w:rsidP="00B9531E">
            <w:pPr>
              <w:spacing w:after="120"/>
              <w:jc w:val="both"/>
              <w:rPr>
                <w:b/>
                <w:sz w:val="20"/>
              </w:rPr>
            </w:pPr>
            <w:r w:rsidRPr="00716170">
              <w:rPr>
                <w:b/>
                <w:sz w:val="20"/>
              </w:rPr>
              <w:t>201</w:t>
            </w:r>
            <w:r>
              <w:rPr>
                <w:b/>
                <w:sz w:val="20"/>
              </w:rPr>
              <w:t>5</w:t>
            </w:r>
            <w:r w:rsidRPr="00716170">
              <w:rPr>
                <w:b/>
                <w:sz w:val="20"/>
              </w:rPr>
              <w:t xml:space="preserve"> (mnkr)</w:t>
            </w:r>
          </w:p>
        </w:tc>
        <w:tc>
          <w:tcPr>
            <w:tcW w:w="1669" w:type="dxa"/>
            <w:shd w:val="clear" w:color="auto" w:fill="EEECE1"/>
          </w:tcPr>
          <w:p w14:paraId="4D0C09BC" w14:textId="5E857E91" w:rsidR="00B9531E" w:rsidRPr="00716170" w:rsidRDefault="00B9531E" w:rsidP="00B9531E">
            <w:pPr>
              <w:spacing w:after="120"/>
              <w:jc w:val="both"/>
              <w:rPr>
                <w:b/>
                <w:sz w:val="20"/>
              </w:rPr>
            </w:pPr>
            <w:r w:rsidRPr="00716170">
              <w:rPr>
                <w:b/>
                <w:sz w:val="20"/>
              </w:rPr>
              <w:t>201</w:t>
            </w:r>
            <w:r>
              <w:rPr>
                <w:b/>
                <w:sz w:val="20"/>
              </w:rPr>
              <w:t>6</w:t>
            </w:r>
            <w:r w:rsidRPr="00716170">
              <w:rPr>
                <w:b/>
                <w:sz w:val="20"/>
              </w:rPr>
              <w:t xml:space="preserve"> (mnkr)</w:t>
            </w:r>
          </w:p>
        </w:tc>
        <w:tc>
          <w:tcPr>
            <w:tcW w:w="1669" w:type="dxa"/>
          </w:tcPr>
          <w:p w14:paraId="61DE424B" w14:textId="5FCEC801" w:rsidR="00B9531E" w:rsidRPr="00716170" w:rsidRDefault="00B9531E" w:rsidP="00B9531E">
            <w:pPr>
              <w:spacing w:after="120"/>
              <w:jc w:val="both"/>
              <w:rPr>
                <w:b/>
                <w:sz w:val="20"/>
              </w:rPr>
            </w:pPr>
            <w:r w:rsidRPr="00716170">
              <w:rPr>
                <w:b/>
                <w:sz w:val="20"/>
              </w:rPr>
              <w:t>2</w:t>
            </w:r>
            <w:r>
              <w:rPr>
                <w:b/>
                <w:sz w:val="20"/>
              </w:rPr>
              <w:t xml:space="preserve">017 </w:t>
            </w:r>
            <w:r w:rsidRPr="00716170">
              <w:rPr>
                <w:b/>
                <w:sz w:val="20"/>
              </w:rPr>
              <w:t>(mnkr)</w:t>
            </w:r>
          </w:p>
        </w:tc>
        <w:tc>
          <w:tcPr>
            <w:tcW w:w="1701" w:type="dxa"/>
          </w:tcPr>
          <w:p w14:paraId="26A21EA6" w14:textId="46826D6F" w:rsidR="00B9531E" w:rsidRPr="00716170" w:rsidRDefault="00B9531E" w:rsidP="00B9531E">
            <w:pPr>
              <w:spacing w:after="120"/>
              <w:jc w:val="both"/>
              <w:rPr>
                <w:b/>
                <w:sz w:val="20"/>
              </w:rPr>
            </w:pPr>
            <w:r w:rsidRPr="00716170">
              <w:rPr>
                <w:b/>
                <w:sz w:val="20"/>
              </w:rPr>
              <w:t>2</w:t>
            </w:r>
            <w:r>
              <w:rPr>
                <w:b/>
                <w:sz w:val="20"/>
              </w:rPr>
              <w:t xml:space="preserve">018 </w:t>
            </w:r>
            <w:r w:rsidRPr="00716170">
              <w:rPr>
                <w:b/>
                <w:sz w:val="20"/>
              </w:rPr>
              <w:t>(mnkr)</w:t>
            </w:r>
          </w:p>
        </w:tc>
      </w:tr>
      <w:tr w:rsidR="00EF7734" w:rsidRPr="00716170" w14:paraId="2EE2F17F" w14:textId="77777777" w:rsidTr="00B9531E">
        <w:tc>
          <w:tcPr>
            <w:tcW w:w="2346" w:type="dxa"/>
          </w:tcPr>
          <w:p w14:paraId="76E4135B" w14:textId="77777777" w:rsidR="00EF7734" w:rsidRPr="00716170" w:rsidRDefault="00EF7734" w:rsidP="007856D3">
            <w:pPr>
              <w:spacing w:after="120"/>
              <w:jc w:val="both"/>
              <w:rPr>
                <w:sz w:val="20"/>
              </w:rPr>
            </w:pPr>
            <w:r w:rsidRPr="00716170">
              <w:rPr>
                <w:sz w:val="20"/>
              </w:rPr>
              <w:t>Umeå universitet</w:t>
            </w:r>
          </w:p>
        </w:tc>
        <w:tc>
          <w:tcPr>
            <w:tcW w:w="1669" w:type="dxa"/>
            <w:shd w:val="clear" w:color="auto" w:fill="auto"/>
          </w:tcPr>
          <w:p w14:paraId="26C775BB" w14:textId="4D6E10D0" w:rsidR="00716170" w:rsidRPr="00716170" w:rsidRDefault="00B9531E" w:rsidP="007856D3">
            <w:pPr>
              <w:spacing w:after="120"/>
              <w:jc w:val="both"/>
              <w:rPr>
                <w:sz w:val="20"/>
              </w:rPr>
            </w:pPr>
            <w:r>
              <w:rPr>
                <w:sz w:val="20"/>
              </w:rPr>
              <w:t>1 047</w:t>
            </w:r>
          </w:p>
        </w:tc>
        <w:tc>
          <w:tcPr>
            <w:tcW w:w="1669" w:type="dxa"/>
            <w:shd w:val="clear" w:color="auto" w:fill="EEECE1"/>
          </w:tcPr>
          <w:p w14:paraId="4CFC6185" w14:textId="1287C8D1" w:rsidR="00EF7734" w:rsidRPr="00716170" w:rsidRDefault="00B9531E" w:rsidP="00716170">
            <w:pPr>
              <w:spacing w:after="120"/>
              <w:jc w:val="both"/>
              <w:rPr>
                <w:sz w:val="20"/>
              </w:rPr>
            </w:pPr>
            <w:r>
              <w:rPr>
                <w:sz w:val="20"/>
              </w:rPr>
              <w:t>1 066</w:t>
            </w:r>
          </w:p>
        </w:tc>
        <w:tc>
          <w:tcPr>
            <w:tcW w:w="1669" w:type="dxa"/>
          </w:tcPr>
          <w:p w14:paraId="09361C50" w14:textId="07ABA81E" w:rsidR="00EF7734" w:rsidRPr="00716170" w:rsidRDefault="00B9531E" w:rsidP="00716170">
            <w:pPr>
              <w:spacing w:after="120"/>
              <w:jc w:val="both"/>
              <w:rPr>
                <w:sz w:val="20"/>
              </w:rPr>
            </w:pPr>
            <w:r>
              <w:rPr>
                <w:sz w:val="20"/>
              </w:rPr>
              <w:t>1 075</w:t>
            </w:r>
          </w:p>
        </w:tc>
        <w:tc>
          <w:tcPr>
            <w:tcW w:w="1701" w:type="dxa"/>
          </w:tcPr>
          <w:p w14:paraId="7BE8D93D" w14:textId="5F5D3C9F" w:rsidR="00EF7734" w:rsidRPr="00716170" w:rsidRDefault="00B9531E" w:rsidP="00716170">
            <w:pPr>
              <w:spacing w:after="120"/>
              <w:jc w:val="both"/>
              <w:rPr>
                <w:sz w:val="20"/>
              </w:rPr>
            </w:pPr>
            <w:r>
              <w:rPr>
                <w:sz w:val="20"/>
              </w:rPr>
              <w:t>1 088</w:t>
            </w:r>
          </w:p>
        </w:tc>
      </w:tr>
      <w:tr w:rsidR="007A57C9" w:rsidRPr="00716170" w14:paraId="6933A7EC" w14:textId="77777777" w:rsidTr="00B9531E">
        <w:tc>
          <w:tcPr>
            <w:tcW w:w="2346" w:type="dxa"/>
          </w:tcPr>
          <w:p w14:paraId="5357642F" w14:textId="77777777" w:rsidR="00EF7734" w:rsidRPr="00716170" w:rsidRDefault="00EF7734" w:rsidP="007856D3">
            <w:pPr>
              <w:spacing w:after="120"/>
              <w:jc w:val="both"/>
              <w:rPr>
                <w:sz w:val="20"/>
              </w:rPr>
            </w:pPr>
            <w:r w:rsidRPr="00716170">
              <w:rPr>
                <w:sz w:val="20"/>
              </w:rPr>
              <w:t>Linköpings universitet</w:t>
            </w:r>
          </w:p>
        </w:tc>
        <w:tc>
          <w:tcPr>
            <w:tcW w:w="1669" w:type="dxa"/>
            <w:shd w:val="clear" w:color="auto" w:fill="auto"/>
          </w:tcPr>
          <w:p w14:paraId="5AAB511D" w14:textId="620B4897" w:rsidR="00EF7734" w:rsidRPr="00716170" w:rsidRDefault="00B9531E" w:rsidP="007856D3">
            <w:pPr>
              <w:spacing w:after="120"/>
              <w:jc w:val="both"/>
              <w:rPr>
                <w:sz w:val="20"/>
              </w:rPr>
            </w:pPr>
            <w:r>
              <w:rPr>
                <w:sz w:val="20"/>
              </w:rPr>
              <w:t xml:space="preserve">  806</w:t>
            </w:r>
          </w:p>
        </w:tc>
        <w:tc>
          <w:tcPr>
            <w:tcW w:w="1669" w:type="dxa"/>
            <w:shd w:val="clear" w:color="auto" w:fill="EEECE1"/>
          </w:tcPr>
          <w:p w14:paraId="7953B0E7" w14:textId="65ECAB29" w:rsidR="00EF7734" w:rsidRPr="00716170" w:rsidRDefault="00B9531E" w:rsidP="007856D3">
            <w:pPr>
              <w:spacing w:after="120"/>
              <w:jc w:val="both"/>
              <w:rPr>
                <w:sz w:val="20"/>
              </w:rPr>
            </w:pPr>
            <w:r>
              <w:rPr>
                <w:sz w:val="20"/>
              </w:rPr>
              <w:t xml:space="preserve">   825</w:t>
            </w:r>
          </w:p>
        </w:tc>
        <w:tc>
          <w:tcPr>
            <w:tcW w:w="1669" w:type="dxa"/>
          </w:tcPr>
          <w:p w14:paraId="1AB6994A" w14:textId="436F29B9" w:rsidR="00EF7734" w:rsidRPr="00716170" w:rsidRDefault="00B9531E" w:rsidP="00716170">
            <w:pPr>
              <w:spacing w:after="120"/>
              <w:jc w:val="both"/>
              <w:rPr>
                <w:sz w:val="20"/>
              </w:rPr>
            </w:pPr>
            <w:r>
              <w:rPr>
                <w:sz w:val="20"/>
              </w:rPr>
              <w:t xml:space="preserve">  832</w:t>
            </w:r>
          </w:p>
        </w:tc>
        <w:tc>
          <w:tcPr>
            <w:tcW w:w="1701" w:type="dxa"/>
          </w:tcPr>
          <w:p w14:paraId="6A2359A9" w14:textId="1AA07247" w:rsidR="00EF7734" w:rsidRPr="00716170" w:rsidRDefault="00B9531E" w:rsidP="00716170">
            <w:pPr>
              <w:spacing w:after="120"/>
              <w:jc w:val="both"/>
              <w:rPr>
                <w:sz w:val="20"/>
              </w:rPr>
            </w:pPr>
            <w:r>
              <w:rPr>
                <w:sz w:val="20"/>
              </w:rPr>
              <w:t xml:space="preserve">   843</w:t>
            </w:r>
          </w:p>
        </w:tc>
      </w:tr>
      <w:tr w:rsidR="007856D3" w:rsidRPr="00716170" w14:paraId="08E377B1" w14:textId="77777777" w:rsidTr="00B9531E">
        <w:tc>
          <w:tcPr>
            <w:tcW w:w="2346" w:type="dxa"/>
          </w:tcPr>
          <w:p w14:paraId="7DBDE86A" w14:textId="3B40B985" w:rsidR="00EF7734" w:rsidRPr="00716170" w:rsidRDefault="007856D3" w:rsidP="007856D3">
            <w:pPr>
              <w:spacing w:after="120"/>
              <w:jc w:val="both"/>
              <w:rPr>
                <w:sz w:val="20"/>
              </w:rPr>
            </w:pPr>
            <w:r w:rsidRPr="00716170">
              <w:rPr>
                <w:sz w:val="20"/>
              </w:rPr>
              <w:t>Luleå tekn. universitet</w:t>
            </w:r>
          </w:p>
        </w:tc>
        <w:tc>
          <w:tcPr>
            <w:tcW w:w="1669" w:type="dxa"/>
            <w:shd w:val="clear" w:color="auto" w:fill="auto"/>
          </w:tcPr>
          <w:p w14:paraId="798A28FC" w14:textId="6E7B4589" w:rsidR="00EF7734" w:rsidRPr="00716170" w:rsidRDefault="00B9531E" w:rsidP="007856D3">
            <w:pPr>
              <w:spacing w:after="120"/>
              <w:jc w:val="both"/>
              <w:rPr>
                <w:sz w:val="20"/>
              </w:rPr>
            </w:pPr>
            <w:r>
              <w:rPr>
                <w:sz w:val="20"/>
              </w:rPr>
              <w:t xml:space="preserve">  354</w:t>
            </w:r>
          </w:p>
        </w:tc>
        <w:tc>
          <w:tcPr>
            <w:tcW w:w="1669" w:type="dxa"/>
            <w:shd w:val="clear" w:color="auto" w:fill="EEECE1"/>
          </w:tcPr>
          <w:p w14:paraId="44533CC3" w14:textId="6E534B3C" w:rsidR="00EF7734" w:rsidRPr="00716170" w:rsidRDefault="00B9531E" w:rsidP="00C528AA">
            <w:pPr>
              <w:spacing w:after="120"/>
              <w:jc w:val="both"/>
              <w:rPr>
                <w:sz w:val="20"/>
              </w:rPr>
            </w:pPr>
            <w:r>
              <w:rPr>
                <w:sz w:val="20"/>
              </w:rPr>
              <w:t xml:space="preserve"> </w:t>
            </w:r>
            <w:r w:rsidR="00567889">
              <w:rPr>
                <w:sz w:val="20"/>
              </w:rPr>
              <w:t xml:space="preserve"> </w:t>
            </w:r>
            <w:r>
              <w:rPr>
                <w:sz w:val="20"/>
              </w:rPr>
              <w:t xml:space="preserve"> 364</w:t>
            </w:r>
          </w:p>
        </w:tc>
        <w:tc>
          <w:tcPr>
            <w:tcW w:w="1669" w:type="dxa"/>
          </w:tcPr>
          <w:p w14:paraId="484EF05D" w14:textId="0C7A3B81" w:rsidR="00EF7734" w:rsidRPr="00716170" w:rsidRDefault="00567889" w:rsidP="007856D3">
            <w:pPr>
              <w:spacing w:after="120"/>
              <w:jc w:val="both"/>
              <w:rPr>
                <w:sz w:val="20"/>
              </w:rPr>
            </w:pPr>
            <w:r>
              <w:rPr>
                <w:sz w:val="20"/>
              </w:rPr>
              <w:t xml:space="preserve">  367</w:t>
            </w:r>
          </w:p>
        </w:tc>
        <w:tc>
          <w:tcPr>
            <w:tcW w:w="1701" w:type="dxa"/>
          </w:tcPr>
          <w:p w14:paraId="1767EC5D" w14:textId="13665F17" w:rsidR="00EF7734" w:rsidRPr="00716170" w:rsidRDefault="00567889" w:rsidP="007856D3">
            <w:pPr>
              <w:spacing w:after="120"/>
              <w:jc w:val="both"/>
              <w:rPr>
                <w:sz w:val="20"/>
              </w:rPr>
            </w:pPr>
            <w:r>
              <w:rPr>
                <w:sz w:val="20"/>
              </w:rPr>
              <w:t xml:space="preserve">  </w:t>
            </w:r>
            <w:r w:rsidR="009E452F">
              <w:rPr>
                <w:sz w:val="20"/>
              </w:rPr>
              <w:t xml:space="preserve"> </w:t>
            </w:r>
            <w:r>
              <w:rPr>
                <w:sz w:val="20"/>
              </w:rPr>
              <w:t xml:space="preserve"> 371</w:t>
            </w:r>
          </w:p>
        </w:tc>
      </w:tr>
      <w:tr w:rsidR="007856D3" w:rsidRPr="004D3BF0" w14:paraId="4236576D" w14:textId="77777777" w:rsidTr="00B9531E">
        <w:tc>
          <w:tcPr>
            <w:tcW w:w="2346" w:type="dxa"/>
          </w:tcPr>
          <w:p w14:paraId="197374DB" w14:textId="77777777" w:rsidR="00EF7734" w:rsidRPr="00716170" w:rsidRDefault="00EF7734" w:rsidP="007856D3">
            <w:pPr>
              <w:spacing w:after="120"/>
              <w:jc w:val="both"/>
              <w:rPr>
                <w:sz w:val="20"/>
              </w:rPr>
            </w:pPr>
            <w:r w:rsidRPr="00716170">
              <w:rPr>
                <w:sz w:val="20"/>
              </w:rPr>
              <w:t>Mittuniversitetet</w:t>
            </w:r>
          </w:p>
        </w:tc>
        <w:tc>
          <w:tcPr>
            <w:tcW w:w="1669" w:type="dxa"/>
            <w:shd w:val="clear" w:color="auto" w:fill="auto"/>
          </w:tcPr>
          <w:p w14:paraId="7D56A7D5" w14:textId="4ECBBE3D" w:rsidR="00EF7734" w:rsidRPr="00716170" w:rsidRDefault="009E452F" w:rsidP="007856D3">
            <w:pPr>
              <w:spacing w:after="120"/>
              <w:jc w:val="both"/>
              <w:rPr>
                <w:sz w:val="20"/>
              </w:rPr>
            </w:pPr>
            <w:r>
              <w:rPr>
                <w:sz w:val="20"/>
              </w:rPr>
              <w:t xml:space="preserve">  207</w:t>
            </w:r>
          </w:p>
        </w:tc>
        <w:tc>
          <w:tcPr>
            <w:tcW w:w="1669" w:type="dxa"/>
            <w:shd w:val="clear" w:color="auto" w:fill="EEECE1"/>
          </w:tcPr>
          <w:p w14:paraId="00719204" w14:textId="794E1B39" w:rsidR="00EF7734" w:rsidRPr="00716170" w:rsidRDefault="009E452F" w:rsidP="00C528AA">
            <w:pPr>
              <w:spacing w:after="120"/>
              <w:jc w:val="both"/>
              <w:rPr>
                <w:sz w:val="20"/>
              </w:rPr>
            </w:pPr>
            <w:r>
              <w:rPr>
                <w:sz w:val="20"/>
              </w:rPr>
              <w:t xml:space="preserve">   231</w:t>
            </w:r>
          </w:p>
        </w:tc>
        <w:tc>
          <w:tcPr>
            <w:tcW w:w="1669" w:type="dxa"/>
          </w:tcPr>
          <w:p w14:paraId="1FFB4BD7" w14:textId="44775D95" w:rsidR="00EF7734" w:rsidRPr="00716170" w:rsidRDefault="009E452F" w:rsidP="007856D3">
            <w:pPr>
              <w:spacing w:after="120"/>
              <w:jc w:val="both"/>
              <w:rPr>
                <w:sz w:val="20"/>
              </w:rPr>
            </w:pPr>
            <w:r>
              <w:rPr>
                <w:sz w:val="20"/>
              </w:rPr>
              <w:t xml:space="preserve">  233</w:t>
            </w:r>
          </w:p>
        </w:tc>
        <w:tc>
          <w:tcPr>
            <w:tcW w:w="1701" w:type="dxa"/>
          </w:tcPr>
          <w:p w14:paraId="06994D47" w14:textId="723C6E74" w:rsidR="00EF7734" w:rsidRPr="004D3BF0" w:rsidRDefault="009E452F" w:rsidP="007856D3">
            <w:pPr>
              <w:spacing w:after="120"/>
              <w:jc w:val="both"/>
              <w:rPr>
                <w:sz w:val="20"/>
              </w:rPr>
            </w:pPr>
            <w:r>
              <w:rPr>
                <w:sz w:val="20"/>
              </w:rPr>
              <w:t xml:space="preserve">   236</w:t>
            </w:r>
          </w:p>
        </w:tc>
      </w:tr>
    </w:tbl>
    <w:p w14:paraId="0B868600" w14:textId="77777777" w:rsidR="00C528AA" w:rsidRPr="004D3BF0" w:rsidRDefault="00C528AA" w:rsidP="00EF7734">
      <w:pPr>
        <w:spacing w:after="0"/>
        <w:jc w:val="both"/>
        <w:rPr>
          <w:rFonts w:cs="Arial"/>
          <w:b/>
        </w:rPr>
      </w:pPr>
    </w:p>
    <w:p w14:paraId="22A2E213" w14:textId="77777777" w:rsidR="0067407A" w:rsidRDefault="0067407A" w:rsidP="00EF7734">
      <w:pPr>
        <w:spacing w:after="0"/>
        <w:jc w:val="both"/>
        <w:rPr>
          <w:rFonts w:cs="Arial"/>
          <w:b/>
          <w:sz w:val="22"/>
          <w:szCs w:val="22"/>
        </w:rPr>
      </w:pPr>
    </w:p>
    <w:p w14:paraId="79BEC18D" w14:textId="00A58ADE" w:rsidR="00EF7734" w:rsidRPr="00C528AA" w:rsidRDefault="00EF7734" w:rsidP="00EF7734">
      <w:pPr>
        <w:spacing w:after="0"/>
        <w:jc w:val="both"/>
        <w:rPr>
          <w:rFonts w:cs="Arial"/>
          <w:b/>
          <w:sz w:val="22"/>
          <w:szCs w:val="22"/>
        </w:rPr>
      </w:pPr>
      <w:r w:rsidRPr="00C528AA">
        <w:rPr>
          <w:rFonts w:cs="Arial"/>
          <w:b/>
          <w:sz w:val="22"/>
          <w:szCs w:val="22"/>
        </w:rPr>
        <w:t>För frågor angående budgetpropositionen för 201</w:t>
      </w:r>
      <w:r w:rsidR="004D3BF0" w:rsidRPr="00C528AA">
        <w:rPr>
          <w:rFonts w:cs="Arial"/>
          <w:b/>
          <w:sz w:val="22"/>
          <w:szCs w:val="22"/>
        </w:rPr>
        <w:t>5</w:t>
      </w:r>
      <w:r w:rsidRPr="00C528AA">
        <w:rPr>
          <w:rFonts w:cs="Arial"/>
          <w:b/>
          <w:sz w:val="22"/>
          <w:szCs w:val="22"/>
        </w:rPr>
        <w:t>, kontakta:</w:t>
      </w:r>
    </w:p>
    <w:p w14:paraId="6FA9246B" w14:textId="131789AC" w:rsidR="00EF7734" w:rsidRPr="004D3BF0" w:rsidRDefault="00C528AA" w:rsidP="008233A9">
      <w:pPr>
        <w:tabs>
          <w:tab w:val="left" w:pos="4678"/>
        </w:tabs>
        <w:spacing w:after="0"/>
        <w:jc w:val="both"/>
        <w:rPr>
          <w:sz w:val="22"/>
          <w:szCs w:val="22"/>
        </w:rPr>
      </w:pPr>
      <w:r>
        <w:rPr>
          <w:sz w:val="22"/>
          <w:szCs w:val="22"/>
        </w:rPr>
        <w:t>Bitr</w:t>
      </w:r>
      <w:r w:rsidR="007856D3" w:rsidRPr="004D3BF0">
        <w:rPr>
          <w:sz w:val="22"/>
          <w:szCs w:val="22"/>
        </w:rPr>
        <w:t>. u</w:t>
      </w:r>
      <w:r w:rsidR="00EF7734" w:rsidRPr="004D3BF0">
        <w:rPr>
          <w:sz w:val="22"/>
          <w:szCs w:val="22"/>
        </w:rPr>
        <w:t xml:space="preserve">niversitetsdirektör </w:t>
      </w:r>
      <w:r w:rsidR="007856D3" w:rsidRPr="004D3BF0">
        <w:rPr>
          <w:i/>
          <w:sz w:val="22"/>
          <w:szCs w:val="22"/>
        </w:rPr>
        <w:t>Per Ragnarsson</w:t>
      </w:r>
      <w:r w:rsidR="007856D3" w:rsidRPr="004D3BF0">
        <w:rPr>
          <w:i/>
          <w:sz w:val="22"/>
          <w:szCs w:val="22"/>
        </w:rPr>
        <w:tab/>
      </w:r>
      <w:r w:rsidR="00EF7734" w:rsidRPr="004D3BF0">
        <w:rPr>
          <w:sz w:val="22"/>
          <w:szCs w:val="22"/>
        </w:rPr>
        <w:t xml:space="preserve">anknytning </w:t>
      </w:r>
      <w:r w:rsidR="007856D3" w:rsidRPr="004D3BF0">
        <w:rPr>
          <w:sz w:val="22"/>
          <w:szCs w:val="22"/>
        </w:rPr>
        <w:t>5586</w:t>
      </w:r>
      <w:r w:rsidR="008233A9" w:rsidRPr="004D3BF0">
        <w:rPr>
          <w:sz w:val="22"/>
          <w:szCs w:val="22"/>
        </w:rPr>
        <w:t xml:space="preserve"> eller mobil 070-380 55 83</w:t>
      </w:r>
    </w:p>
    <w:p w14:paraId="0AF5A091" w14:textId="63E08B7A" w:rsidR="007856D3" w:rsidRPr="004D3BF0" w:rsidRDefault="007856D3" w:rsidP="008233A9">
      <w:pPr>
        <w:tabs>
          <w:tab w:val="left" w:pos="4678"/>
        </w:tabs>
        <w:spacing w:after="0"/>
        <w:jc w:val="both"/>
        <w:rPr>
          <w:sz w:val="22"/>
          <w:szCs w:val="22"/>
        </w:rPr>
      </w:pPr>
      <w:r w:rsidRPr="004D3BF0">
        <w:rPr>
          <w:sz w:val="22"/>
          <w:szCs w:val="22"/>
        </w:rPr>
        <w:t xml:space="preserve">Controller </w:t>
      </w:r>
      <w:r w:rsidRPr="004D3BF0">
        <w:rPr>
          <w:i/>
          <w:sz w:val="22"/>
          <w:szCs w:val="22"/>
        </w:rPr>
        <w:t>Carina Henningsson</w:t>
      </w:r>
      <w:r w:rsidRPr="004D3BF0">
        <w:rPr>
          <w:sz w:val="22"/>
          <w:szCs w:val="22"/>
        </w:rPr>
        <w:tab/>
        <w:t>anknytning 5663</w:t>
      </w:r>
      <w:r w:rsidRPr="004D3BF0">
        <w:rPr>
          <w:sz w:val="22"/>
          <w:szCs w:val="22"/>
        </w:rPr>
        <w:tab/>
      </w:r>
    </w:p>
    <w:sectPr w:rsidR="007856D3" w:rsidRPr="004D3BF0" w:rsidSect="00743DA9">
      <w:headerReference w:type="default" r:id="rId8"/>
      <w:headerReference w:type="first" r:id="rId9"/>
      <w:pgSz w:w="11900" w:h="16840"/>
      <w:pgMar w:top="3119" w:right="1418" w:bottom="1418" w:left="1418" w:header="68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A1C8E" w14:textId="77777777" w:rsidR="000A4B00" w:rsidRDefault="000A4B00">
      <w:r>
        <w:separator/>
      </w:r>
    </w:p>
  </w:endnote>
  <w:endnote w:type="continuationSeparator" w:id="0">
    <w:p w14:paraId="02FCF8CA" w14:textId="77777777" w:rsidR="000A4B00" w:rsidRDefault="000A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EMHCG G+ T T 318o 00">
    <w:altName w:val="Arial"/>
    <w:panose1 w:val="00000000000000000000"/>
    <w:charset w:val="00"/>
    <w:family w:val="swiss"/>
    <w:notTrueType/>
    <w:pitch w:val="default"/>
    <w:sig w:usb0="00000003" w:usb1="00000000" w:usb2="00000000" w:usb3="00000000" w:csb0="00000001" w:csb1="00000000"/>
  </w:font>
  <w:font w:name="OrigGarmnd BT">
    <w:altName w:val="OrigGarmnd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61F05" w14:textId="77777777" w:rsidR="000A4B00" w:rsidRDefault="000A4B00">
      <w:r>
        <w:separator/>
      </w:r>
    </w:p>
  </w:footnote>
  <w:footnote w:type="continuationSeparator" w:id="0">
    <w:p w14:paraId="67A77CFF" w14:textId="77777777" w:rsidR="000A4B00" w:rsidRDefault="000A4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7" w:type="dxa"/>
      <w:tblInd w:w="-34" w:type="dxa"/>
      <w:tblLayout w:type="fixed"/>
      <w:tblLook w:val="00A0" w:firstRow="1" w:lastRow="0" w:firstColumn="1" w:lastColumn="0" w:noHBand="0" w:noVBand="0"/>
    </w:tblPr>
    <w:tblGrid>
      <w:gridCol w:w="1417"/>
      <w:gridCol w:w="4535"/>
      <w:gridCol w:w="3118"/>
      <w:gridCol w:w="1147"/>
    </w:tblGrid>
    <w:tr w:rsidR="00B9531E" w14:paraId="382FF944" w14:textId="77777777">
      <w:trPr>
        <w:trHeight w:hRule="exact" w:val="1474"/>
        <w:tblHeader/>
      </w:trPr>
      <w:tc>
        <w:tcPr>
          <w:tcW w:w="1417" w:type="dxa"/>
          <w:tcMar>
            <w:left w:w="57" w:type="dxa"/>
          </w:tcMar>
        </w:tcPr>
        <w:p w14:paraId="14F762D5" w14:textId="77777777" w:rsidR="00B9531E" w:rsidRPr="00AB2FB6" w:rsidRDefault="00B9531E" w:rsidP="00743DA9">
          <w:pPr>
            <w:pStyle w:val="Sidhuvud"/>
            <w:spacing w:after="0"/>
            <w:ind w:left="34"/>
          </w:pPr>
          <w:r>
            <w:rPr>
              <w:noProof/>
              <w:lang w:eastAsia="sv-SE"/>
            </w:rPr>
            <w:t xml:space="preserve"> </w:t>
          </w:r>
          <w:r>
            <w:rPr>
              <w:noProof/>
              <w:lang w:eastAsia="sv-SE"/>
            </w:rPr>
            <w:drawing>
              <wp:inline distT="0" distB="0" distL="0" distR="0" wp14:anchorId="01033167" wp14:editId="728ADAE9">
                <wp:extent cx="720090" cy="720090"/>
                <wp:effectExtent l="0" t="0" r="0" b="0"/>
                <wp:docPr id="9" name="Bild 9" descr="UMU_pos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MU_pos_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inline>
            </w:drawing>
          </w:r>
        </w:p>
      </w:tc>
      <w:tc>
        <w:tcPr>
          <w:tcW w:w="4535" w:type="dxa"/>
          <w:tcMar>
            <w:left w:w="0" w:type="dxa"/>
          </w:tcMar>
        </w:tcPr>
        <w:p w14:paraId="719746A4" w14:textId="77777777" w:rsidR="00B9531E" w:rsidRPr="00ED3599" w:rsidRDefault="00B9531E" w:rsidP="00743DA9">
          <w:pPr>
            <w:pStyle w:val="Sidhuvud"/>
            <w:spacing w:before="60" w:after="0" w:line="200" w:lineRule="exact"/>
          </w:pPr>
          <w:r w:rsidRPr="00ED3599">
            <w:t xml:space="preserve">Umeå </w:t>
          </w:r>
          <w:r>
            <w:t xml:space="preserve">universitet, </w:t>
          </w:r>
          <w:r w:rsidRPr="00ED3599">
            <w:t>901 87 Umeå</w:t>
          </w:r>
        </w:p>
        <w:p w14:paraId="537DE36F" w14:textId="7F5D69C7" w:rsidR="00B9531E" w:rsidRDefault="00B9531E" w:rsidP="00743DA9">
          <w:pPr>
            <w:pStyle w:val="Sidhuvud"/>
            <w:spacing w:after="0" w:line="200" w:lineRule="exact"/>
          </w:pPr>
          <w:r>
            <w:t>Bitr. universitetsdirektör Per Ragnarsson</w:t>
          </w:r>
        </w:p>
        <w:p w14:paraId="3DAFFB04" w14:textId="77777777" w:rsidR="00B9531E" w:rsidRDefault="00B9531E" w:rsidP="001557F3">
          <w:pPr>
            <w:pStyle w:val="Sidhuvud"/>
            <w:spacing w:after="0" w:line="200" w:lineRule="exact"/>
          </w:pPr>
          <w:r>
            <w:t>Controller Carina Henningsson</w:t>
          </w:r>
        </w:p>
        <w:p w14:paraId="31ECD4EE" w14:textId="1DB030B9" w:rsidR="00B9531E" w:rsidRPr="00ED3599" w:rsidRDefault="00B9531E" w:rsidP="00A77164">
          <w:pPr>
            <w:pStyle w:val="Sidhuvud"/>
            <w:spacing w:after="0" w:line="200" w:lineRule="exact"/>
          </w:pPr>
          <w:r>
            <w:t>Akademisekreterare Daniel Andersson</w:t>
          </w:r>
          <w:r>
            <w:br/>
          </w:r>
        </w:p>
      </w:tc>
      <w:tc>
        <w:tcPr>
          <w:tcW w:w="3118" w:type="dxa"/>
          <w:tcMar>
            <w:left w:w="0" w:type="dxa"/>
          </w:tcMar>
        </w:tcPr>
        <w:p w14:paraId="65B1762A" w14:textId="77777777" w:rsidR="00B9531E" w:rsidRPr="00ED3599" w:rsidRDefault="00B9531E" w:rsidP="00743DA9">
          <w:pPr>
            <w:pStyle w:val="Sidhuvud"/>
            <w:spacing w:before="60" w:after="0" w:line="200" w:lineRule="exact"/>
          </w:pPr>
          <w:r>
            <w:t>Dok</w:t>
          </w:r>
          <w:r w:rsidRPr="00ED3599">
            <w:t>ument</w:t>
          </w:r>
          <w:r>
            <w:t>typ: INFORMATION</w:t>
          </w:r>
        </w:p>
        <w:p w14:paraId="640F22F1" w14:textId="606A07F9" w:rsidR="00B9531E" w:rsidRDefault="00B9531E" w:rsidP="00743DA9">
          <w:pPr>
            <w:pStyle w:val="Sidhuvud"/>
            <w:spacing w:after="0" w:line="200" w:lineRule="exact"/>
          </w:pPr>
          <w:r>
            <w:t>Datum: 201</w:t>
          </w:r>
          <w:r w:rsidR="00CF0F46">
            <w:t>5</w:t>
          </w:r>
          <w:r>
            <w:t>-09-2</w:t>
          </w:r>
          <w:r w:rsidR="00A65C1C">
            <w:t>4</w:t>
          </w:r>
        </w:p>
        <w:p w14:paraId="33BC50CB" w14:textId="77777777" w:rsidR="00B9531E" w:rsidRPr="00ED3599" w:rsidRDefault="00B9531E" w:rsidP="00743DA9">
          <w:pPr>
            <w:pStyle w:val="Sidhuvud"/>
            <w:spacing w:after="0" w:line="200" w:lineRule="exact"/>
          </w:pPr>
        </w:p>
      </w:tc>
      <w:tc>
        <w:tcPr>
          <w:tcW w:w="1147" w:type="dxa"/>
          <w:tcMar>
            <w:left w:w="0" w:type="dxa"/>
          </w:tcMar>
        </w:tcPr>
        <w:p w14:paraId="5A743C09" w14:textId="77777777" w:rsidR="00B9531E" w:rsidRPr="00ED3599" w:rsidRDefault="00B9531E" w:rsidP="00743DA9">
          <w:pPr>
            <w:pStyle w:val="Sidhuvud"/>
            <w:spacing w:before="60" w:after="0" w:line="200" w:lineRule="exact"/>
          </w:pPr>
          <w:r>
            <w:t>Sid</w:t>
          </w:r>
          <w:r w:rsidRPr="00ED3599">
            <w:t xml:space="preserve"> </w:t>
          </w:r>
          <w:r w:rsidRPr="00C233A3">
            <w:fldChar w:fldCharType="begin"/>
          </w:r>
          <w:r w:rsidRPr="00C233A3">
            <w:instrText xml:space="preserve"> PAGE </w:instrText>
          </w:r>
          <w:r w:rsidRPr="00C233A3">
            <w:fldChar w:fldCharType="separate"/>
          </w:r>
          <w:r w:rsidR="00A65C1C">
            <w:rPr>
              <w:noProof/>
            </w:rPr>
            <w:t>1</w:t>
          </w:r>
          <w:r w:rsidRPr="00C233A3">
            <w:fldChar w:fldCharType="end"/>
          </w:r>
          <w:r w:rsidRPr="00C233A3">
            <w:t xml:space="preserve"> (</w:t>
          </w:r>
          <w:fldSimple w:instr=" NUMPAGES ">
            <w:r w:rsidR="00A65C1C">
              <w:rPr>
                <w:noProof/>
              </w:rPr>
              <w:t>12</w:t>
            </w:r>
          </w:fldSimple>
          <w:r w:rsidRPr="00C233A3">
            <w:t>)</w:t>
          </w:r>
        </w:p>
      </w:tc>
    </w:tr>
  </w:tbl>
  <w:p w14:paraId="237A70EF" w14:textId="77777777" w:rsidR="00B9531E" w:rsidRDefault="00B9531E" w:rsidP="00743DA9">
    <w:pPr>
      <w:pStyle w:val="Sidhuvud"/>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A756" w14:textId="77777777" w:rsidR="00B9531E" w:rsidRDefault="00B9531E" w:rsidP="00743DA9">
    <w:pPr>
      <w:pStyle w:val="Sidhuvud"/>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070E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3E65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E8D9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D8D2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072393C"/>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45484734"/>
    <w:lvl w:ilvl="0">
      <w:start w:val="1"/>
      <w:numFmt w:val="decimal"/>
      <w:lvlText w:val="%1."/>
      <w:lvlJc w:val="left"/>
      <w:pPr>
        <w:tabs>
          <w:tab w:val="num" w:pos="360"/>
        </w:tabs>
        <w:ind w:left="360" w:hanging="360"/>
      </w:pPr>
    </w:lvl>
  </w:abstractNum>
  <w:abstractNum w:abstractNumId="6" w15:restartNumberingAfterBreak="0">
    <w:nsid w:val="03CE2F77"/>
    <w:multiLevelType w:val="hybridMultilevel"/>
    <w:tmpl w:val="F1083F0E"/>
    <w:lvl w:ilvl="0" w:tplc="2A02EC1E">
      <w:start w:val="1"/>
      <w:numFmt w:val="bullet"/>
      <w:lvlText w:val="-"/>
      <w:lvlJc w:val="left"/>
      <w:pPr>
        <w:ind w:left="720" w:hanging="360"/>
      </w:pPr>
      <w:rPr>
        <w:rFonts w:ascii="Georgia" w:eastAsia="Cambria"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527479F"/>
    <w:multiLevelType w:val="hybridMultilevel"/>
    <w:tmpl w:val="B24CA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0D6811"/>
    <w:multiLevelType w:val="hybridMultilevel"/>
    <w:tmpl w:val="341201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F42DB6"/>
    <w:multiLevelType w:val="hybridMultilevel"/>
    <w:tmpl w:val="D1287EC2"/>
    <w:lvl w:ilvl="0" w:tplc="F02674A2">
      <w:numFmt w:val="bullet"/>
      <w:lvlText w:val=""/>
      <w:lvlJc w:val="left"/>
      <w:pPr>
        <w:ind w:left="927" w:hanging="360"/>
      </w:pPr>
      <w:rPr>
        <w:rFonts w:ascii="Symbol" w:eastAsia="Cambria" w:hAnsi="Symbol" w:cs="Arial" w:hint="default"/>
        <w:color w:val="auto"/>
      </w:rPr>
    </w:lvl>
    <w:lvl w:ilvl="1" w:tplc="041D0003">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0" w15:restartNumberingAfterBreak="0">
    <w:nsid w:val="1A002342"/>
    <w:multiLevelType w:val="hybridMultilevel"/>
    <w:tmpl w:val="DCE4CC82"/>
    <w:lvl w:ilvl="0" w:tplc="1C9C0AF0">
      <w:numFmt w:val="bullet"/>
      <w:lvlText w:val=""/>
      <w:lvlJc w:val="left"/>
      <w:pPr>
        <w:ind w:left="927" w:hanging="360"/>
      </w:pPr>
      <w:rPr>
        <w:rFonts w:ascii="Symbol" w:eastAsia="Cambria" w:hAnsi="Symbol"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1" w15:restartNumberingAfterBreak="0">
    <w:nsid w:val="1D5C151B"/>
    <w:multiLevelType w:val="hybridMultilevel"/>
    <w:tmpl w:val="E4D45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AE6247"/>
    <w:multiLevelType w:val="hybridMultilevel"/>
    <w:tmpl w:val="F31E8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8E7587"/>
    <w:multiLevelType w:val="hybridMultilevel"/>
    <w:tmpl w:val="C4B84818"/>
    <w:lvl w:ilvl="0" w:tplc="1F5EDDA0">
      <w:numFmt w:val="bullet"/>
      <w:lvlText w:val="-"/>
      <w:lvlJc w:val="left"/>
      <w:pPr>
        <w:ind w:left="1287" w:hanging="360"/>
      </w:pPr>
      <w:rPr>
        <w:rFonts w:ascii="Georgia" w:eastAsia="Cambria" w:hAnsi="Georgia" w:cs="Aria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4" w15:restartNumberingAfterBreak="0">
    <w:nsid w:val="22F411A5"/>
    <w:multiLevelType w:val="hybridMultilevel"/>
    <w:tmpl w:val="3258C1E0"/>
    <w:lvl w:ilvl="0" w:tplc="041D0001">
      <w:start w:val="1"/>
      <w:numFmt w:val="bullet"/>
      <w:lvlText w:val=""/>
      <w:lvlJc w:val="left"/>
      <w:pPr>
        <w:ind w:left="1647" w:hanging="360"/>
      </w:pPr>
      <w:rPr>
        <w:rFonts w:ascii="Symbol" w:hAnsi="Symbol" w:hint="default"/>
      </w:rPr>
    </w:lvl>
    <w:lvl w:ilvl="1" w:tplc="041D0003" w:tentative="1">
      <w:start w:val="1"/>
      <w:numFmt w:val="bullet"/>
      <w:lvlText w:val="o"/>
      <w:lvlJc w:val="left"/>
      <w:pPr>
        <w:ind w:left="2367" w:hanging="360"/>
      </w:pPr>
      <w:rPr>
        <w:rFonts w:ascii="Courier New" w:hAnsi="Courier New" w:cs="Courier New" w:hint="default"/>
      </w:rPr>
    </w:lvl>
    <w:lvl w:ilvl="2" w:tplc="041D0005" w:tentative="1">
      <w:start w:val="1"/>
      <w:numFmt w:val="bullet"/>
      <w:lvlText w:val=""/>
      <w:lvlJc w:val="left"/>
      <w:pPr>
        <w:ind w:left="3087" w:hanging="360"/>
      </w:pPr>
      <w:rPr>
        <w:rFonts w:ascii="Wingdings" w:hAnsi="Wingdings" w:hint="default"/>
      </w:rPr>
    </w:lvl>
    <w:lvl w:ilvl="3" w:tplc="041D0001" w:tentative="1">
      <w:start w:val="1"/>
      <w:numFmt w:val="bullet"/>
      <w:lvlText w:val=""/>
      <w:lvlJc w:val="left"/>
      <w:pPr>
        <w:ind w:left="3807" w:hanging="360"/>
      </w:pPr>
      <w:rPr>
        <w:rFonts w:ascii="Symbol" w:hAnsi="Symbol" w:hint="default"/>
      </w:rPr>
    </w:lvl>
    <w:lvl w:ilvl="4" w:tplc="041D0003" w:tentative="1">
      <w:start w:val="1"/>
      <w:numFmt w:val="bullet"/>
      <w:lvlText w:val="o"/>
      <w:lvlJc w:val="left"/>
      <w:pPr>
        <w:ind w:left="4527" w:hanging="360"/>
      </w:pPr>
      <w:rPr>
        <w:rFonts w:ascii="Courier New" w:hAnsi="Courier New" w:cs="Courier New" w:hint="default"/>
      </w:rPr>
    </w:lvl>
    <w:lvl w:ilvl="5" w:tplc="041D0005" w:tentative="1">
      <w:start w:val="1"/>
      <w:numFmt w:val="bullet"/>
      <w:lvlText w:val=""/>
      <w:lvlJc w:val="left"/>
      <w:pPr>
        <w:ind w:left="5247" w:hanging="360"/>
      </w:pPr>
      <w:rPr>
        <w:rFonts w:ascii="Wingdings" w:hAnsi="Wingdings" w:hint="default"/>
      </w:rPr>
    </w:lvl>
    <w:lvl w:ilvl="6" w:tplc="041D0001" w:tentative="1">
      <w:start w:val="1"/>
      <w:numFmt w:val="bullet"/>
      <w:lvlText w:val=""/>
      <w:lvlJc w:val="left"/>
      <w:pPr>
        <w:ind w:left="5967" w:hanging="360"/>
      </w:pPr>
      <w:rPr>
        <w:rFonts w:ascii="Symbol" w:hAnsi="Symbol" w:hint="default"/>
      </w:rPr>
    </w:lvl>
    <w:lvl w:ilvl="7" w:tplc="041D0003" w:tentative="1">
      <w:start w:val="1"/>
      <w:numFmt w:val="bullet"/>
      <w:lvlText w:val="o"/>
      <w:lvlJc w:val="left"/>
      <w:pPr>
        <w:ind w:left="6687" w:hanging="360"/>
      </w:pPr>
      <w:rPr>
        <w:rFonts w:ascii="Courier New" w:hAnsi="Courier New" w:cs="Courier New" w:hint="default"/>
      </w:rPr>
    </w:lvl>
    <w:lvl w:ilvl="8" w:tplc="041D0005" w:tentative="1">
      <w:start w:val="1"/>
      <w:numFmt w:val="bullet"/>
      <w:lvlText w:val=""/>
      <w:lvlJc w:val="left"/>
      <w:pPr>
        <w:ind w:left="7407" w:hanging="360"/>
      </w:pPr>
      <w:rPr>
        <w:rFonts w:ascii="Wingdings" w:hAnsi="Wingdings" w:hint="default"/>
      </w:rPr>
    </w:lvl>
  </w:abstractNum>
  <w:abstractNum w:abstractNumId="15" w15:restartNumberingAfterBreak="0">
    <w:nsid w:val="2ECA4567"/>
    <w:multiLevelType w:val="hybridMultilevel"/>
    <w:tmpl w:val="7996D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3260FA"/>
    <w:multiLevelType w:val="hybridMultilevel"/>
    <w:tmpl w:val="3B50C19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7" w15:restartNumberingAfterBreak="0">
    <w:nsid w:val="33197E41"/>
    <w:multiLevelType w:val="hybridMultilevel"/>
    <w:tmpl w:val="899C9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6C3B55"/>
    <w:multiLevelType w:val="hybridMultilevel"/>
    <w:tmpl w:val="D4E299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6633CD"/>
    <w:multiLevelType w:val="hybridMultilevel"/>
    <w:tmpl w:val="07909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4D5C3D"/>
    <w:multiLevelType w:val="hybridMultilevel"/>
    <w:tmpl w:val="4FB42984"/>
    <w:lvl w:ilvl="0" w:tplc="C8702B1C">
      <w:numFmt w:val="bullet"/>
      <w:lvlText w:val="-"/>
      <w:lvlJc w:val="left"/>
      <w:pPr>
        <w:ind w:left="720" w:hanging="360"/>
      </w:pPr>
      <w:rPr>
        <w:rFonts w:ascii="Georgia" w:eastAsia="Cambria"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1645AA"/>
    <w:multiLevelType w:val="hybridMultilevel"/>
    <w:tmpl w:val="ADE2657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2" w15:restartNumberingAfterBreak="0">
    <w:nsid w:val="466551FE"/>
    <w:multiLevelType w:val="hybridMultilevel"/>
    <w:tmpl w:val="714CDBE8"/>
    <w:lvl w:ilvl="0" w:tplc="041D000F">
      <w:start w:val="2"/>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483B4F72"/>
    <w:multiLevelType w:val="hybridMultilevel"/>
    <w:tmpl w:val="F454FBD6"/>
    <w:lvl w:ilvl="0" w:tplc="3A8A1FD8">
      <w:numFmt w:val="bullet"/>
      <w:lvlText w:val="-"/>
      <w:lvlJc w:val="left"/>
      <w:pPr>
        <w:ind w:left="1287" w:hanging="360"/>
      </w:pPr>
      <w:rPr>
        <w:rFonts w:ascii="Georgia" w:eastAsia="Cambria" w:hAnsi="Georgia" w:cs="Aria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4" w15:restartNumberingAfterBreak="0">
    <w:nsid w:val="49AF09EF"/>
    <w:multiLevelType w:val="hybridMultilevel"/>
    <w:tmpl w:val="6F28B1F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5" w15:restartNumberingAfterBreak="0">
    <w:nsid w:val="49C1475D"/>
    <w:multiLevelType w:val="hybridMultilevel"/>
    <w:tmpl w:val="E4F633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D225C60"/>
    <w:multiLevelType w:val="hybridMultilevel"/>
    <w:tmpl w:val="3E78DF4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7" w15:restartNumberingAfterBreak="0">
    <w:nsid w:val="5071342F"/>
    <w:multiLevelType w:val="hybridMultilevel"/>
    <w:tmpl w:val="241EDEF8"/>
    <w:lvl w:ilvl="0" w:tplc="7424151C">
      <w:numFmt w:val="bullet"/>
      <w:lvlText w:val="-"/>
      <w:lvlJc w:val="left"/>
      <w:pPr>
        <w:ind w:left="1287" w:hanging="360"/>
      </w:pPr>
      <w:rPr>
        <w:rFonts w:ascii="Georgia" w:eastAsia="Cambria" w:hAnsi="Georgia" w:cs="Aria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8" w15:restartNumberingAfterBreak="0">
    <w:nsid w:val="5B45282F"/>
    <w:multiLevelType w:val="hybridMultilevel"/>
    <w:tmpl w:val="B308A8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590FD3"/>
    <w:multiLevelType w:val="hybridMultilevel"/>
    <w:tmpl w:val="820C95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6661E2"/>
    <w:multiLevelType w:val="hybridMultilevel"/>
    <w:tmpl w:val="F32689C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1" w15:restartNumberingAfterBreak="0">
    <w:nsid w:val="65483ADF"/>
    <w:multiLevelType w:val="hybridMultilevel"/>
    <w:tmpl w:val="63B46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C93B9E"/>
    <w:multiLevelType w:val="hybridMultilevel"/>
    <w:tmpl w:val="978A2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996A8A"/>
    <w:multiLevelType w:val="hybridMultilevel"/>
    <w:tmpl w:val="74CA08A4"/>
    <w:lvl w:ilvl="0" w:tplc="D82EFDA0">
      <w:numFmt w:val="bullet"/>
      <w:lvlText w:val=""/>
      <w:lvlJc w:val="left"/>
      <w:pPr>
        <w:tabs>
          <w:tab w:val="num" w:pos="927"/>
        </w:tabs>
        <w:ind w:left="927" w:hanging="360"/>
      </w:pPr>
      <w:rPr>
        <w:rFonts w:ascii="Symbol" w:eastAsia="Times New Roman"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4" w15:restartNumberingAfterBreak="0">
    <w:nsid w:val="6ED40B47"/>
    <w:multiLevelType w:val="hybridMultilevel"/>
    <w:tmpl w:val="C246AB84"/>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35" w15:restartNumberingAfterBreak="0">
    <w:nsid w:val="6F8E5E06"/>
    <w:multiLevelType w:val="hybridMultilevel"/>
    <w:tmpl w:val="D250D0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991382"/>
    <w:multiLevelType w:val="hybridMultilevel"/>
    <w:tmpl w:val="6254CE2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7" w15:restartNumberingAfterBreak="0">
    <w:nsid w:val="75C84E3D"/>
    <w:multiLevelType w:val="hybridMultilevel"/>
    <w:tmpl w:val="74960D0A"/>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8" w15:restartNumberingAfterBreak="0">
    <w:nsid w:val="763A6D8C"/>
    <w:multiLevelType w:val="hybridMultilevel"/>
    <w:tmpl w:val="B3F07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771638"/>
    <w:multiLevelType w:val="hybridMultilevel"/>
    <w:tmpl w:val="468E4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E73596E"/>
    <w:multiLevelType w:val="hybridMultilevel"/>
    <w:tmpl w:val="417E0D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2"/>
  </w:num>
  <w:num w:numId="9">
    <w:abstractNumId w:val="10"/>
  </w:num>
  <w:num w:numId="10">
    <w:abstractNumId w:val="9"/>
  </w:num>
  <w:num w:numId="11">
    <w:abstractNumId w:val="23"/>
  </w:num>
  <w:num w:numId="12">
    <w:abstractNumId w:val="39"/>
  </w:num>
  <w:num w:numId="13">
    <w:abstractNumId w:val="11"/>
  </w:num>
  <w:num w:numId="14">
    <w:abstractNumId w:val="27"/>
  </w:num>
  <w:num w:numId="15">
    <w:abstractNumId w:val="13"/>
  </w:num>
  <w:num w:numId="16">
    <w:abstractNumId w:val="20"/>
  </w:num>
  <w:num w:numId="17">
    <w:abstractNumId w:val="0"/>
  </w:num>
  <w:num w:numId="18">
    <w:abstractNumId w:val="6"/>
  </w:num>
  <w:num w:numId="19">
    <w:abstractNumId w:val="12"/>
  </w:num>
  <w:num w:numId="20">
    <w:abstractNumId w:val="26"/>
  </w:num>
  <w:num w:numId="21">
    <w:abstractNumId w:val="14"/>
  </w:num>
  <w:num w:numId="22">
    <w:abstractNumId w:val="24"/>
  </w:num>
  <w:num w:numId="23">
    <w:abstractNumId w:val="30"/>
  </w:num>
  <w:num w:numId="24">
    <w:abstractNumId w:val="31"/>
  </w:num>
  <w:num w:numId="25">
    <w:abstractNumId w:val="28"/>
  </w:num>
  <w:num w:numId="26">
    <w:abstractNumId w:val="34"/>
  </w:num>
  <w:num w:numId="27">
    <w:abstractNumId w:val="40"/>
  </w:num>
  <w:num w:numId="28">
    <w:abstractNumId w:val="18"/>
  </w:num>
  <w:num w:numId="29">
    <w:abstractNumId w:val="17"/>
  </w:num>
  <w:num w:numId="30">
    <w:abstractNumId w:val="7"/>
  </w:num>
  <w:num w:numId="31">
    <w:abstractNumId w:val="35"/>
  </w:num>
  <w:num w:numId="32">
    <w:abstractNumId w:val="15"/>
  </w:num>
  <w:num w:numId="33">
    <w:abstractNumId w:val="19"/>
  </w:num>
  <w:num w:numId="34">
    <w:abstractNumId w:val="16"/>
  </w:num>
  <w:num w:numId="35">
    <w:abstractNumId w:val="38"/>
  </w:num>
  <w:num w:numId="36">
    <w:abstractNumId w:val="29"/>
  </w:num>
  <w:num w:numId="37">
    <w:abstractNumId w:val="32"/>
  </w:num>
  <w:num w:numId="38">
    <w:abstractNumId w:val="25"/>
  </w:num>
  <w:num w:numId="39">
    <w:abstractNumId w:val="37"/>
  </w:num>
  <w:num w:numId="40">
    <w:abstractNumId w:val="2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7C"/>
    <w:rsid w:val="00020AB4"/>
    <w:rsid w:val="0002321C"/>
    <w:rsid w:val="0002523A"/>
    <w:rsid w:val="00027ABC"/>
    <w:rsid w:val="00035B6E"/>
    <w:rsid w:val="00045CD6"/>
    <w:rsid w:val="00052886"/>
    <w:rsid w:val="00065C3E"/>
    <w:rsid w:val="00074C2E"/>
    <w:rsid w:val="000A4B00"/>
    <w:rsid w:val="000A5EE5"/>
    <w:rsid w:val="000F4D5D"/>
    <w:rsid w:val="000F541A"/>
    <w:rsid w:val="00110CA3"/>
    <w:rsid w:val="0011440F"/>
    <w:rsid w:val="0012621B"/>
    <w:rsid w:val="00130E8A"/>
    <w:rsid w:val="00144F4D"/>
    <w:rsid w:val="00145314"/>
    <w:rsid w:val="00147B74"/>
    <w:rsid w:val="00147B9E"/>
    <w:rsid w:val="001557F3"/>
    <w:rsid w:val="00157402"/>
    <w:rsid w:val="00160415"/>
    <w:rsid w:val="0016327F"/>
    <w:rsid w:val="00183003"/>
    <w:rsid w:val="00184338"/>
    <w:rsid w:val="00185979"/>
    <w:rsid w:val="00195795"/>
    <w:rsid w:val="001B3113"/>
    <w:rsid w:val="001B7B56"/>
    <w:rsid w:val="001C09C2"/>
    <w:rsid w:val="001C36FF"/>
    <w:rsid w:val="00210CC0"/>
    <w:rsid w:val="002129A7"/>
    <w:rsid w:val="00213A9D"/>
    <w:rsid w:val="00221C80"/>
    <w:rsid w:val="00224E41"/>
    <w:rsid w:val="002264A1"/>
    <w:rsid w:val="002278D5"/>
    <w:rsid w:val="002363F4"/>
    <w:rsid w:val="00246806"/>
    <w:rsid w:val="00247C12"/>
    <w:rsid w:val="00252B7F"/>
    <w:rsid w:val="00261D78"/>
    <w:rsid w:val="00263E75"/>
    <w:rsid w:val="00281DC2"/>
    <w:rsid w:val="00282634"/>
    <w:rsid w:val="002A344A"/>
    <w:rsid w:val="002B5297"/>
    <w:rsid w:val="002D1B54"/>
    <w:rsid w:val="002F779E"/>
    <w:rsid w:val="002F7A04"/>
    <w:rsid w:val="00307CC8"/>
    <w:rsid w:val="003108C1"/>
    <w:rsid w:val="00316607"/>
    <w:rsid w:val="00326CC4"/>
    <w:rsid w:val="0035120B"/>
    <w:rsid w:val="00353952"/>
    <w:rsid w:val="00356BBE"/>
    <w:rsid w:val="0036590A"/>
    <w:rsid w:val="003664E5"/>
    <w:rsid w:val="003678F6"/>
    <w:rsid w:val="00370FEC"/>
    <w:rsid w:val="00372989"/>
    <w:rsid w:val="00377350"/>
    <w:rsid w:val="00382FDA"/>
    <w:rsid w:val="00385449"/>
    <w:rsid w:val="003865D4"/>
    <w:rsid w:val="00386EC7"/>
    <w:rsid w:val="003A0548"/>
    <w:rsid w:val="003B3719"/>
    <w:rsid w:val="003B632A"/>
    <w:rsid w:val="003C14E8"/>
    <w:rsid w:val="003C5207"/>
    <w:rsid w:val="003C5995"/>
    <w:rsid w:val="003C5BED"/>
    <w:rsid w:val="003E3B5A"/>
    <w:rsid w:val="003E4840"/>
    <w:rsid w:val="003E54E8"/>
    <w:rsid w:val="003F56F6"/>
    <w:rsid w:val="004006B1"/>
    <w:rsid w:val="00402747"/>
    <w:rsid w:val="00405731"/>
    <w:rsid w:val="0040603E"/>
    <w:rsid w:val="00421144"/>
    <w:rsid w:val="0043209B"/>
    <w:rsid w:val="00437C4D"/>
    <w:rsid w:val="00444989"/>
    <w:rsid w:val="004466E7"/>
    <w:rsid w:val="004537DA"/>
    <w:rsid w:val="00454F6F"/>
    <w:rsid w:val="00460345"/>
    <w:rsid w:val="0046401F"/>
    <w:rsid w:val="00465EF3"/>
    <w:rsid w:val="0048440C"/>
    <w:rsid w:val="004863A8"/>
    <w:rsid w:val="0048743C"/>
    <w:rsid w:val="00497E10"/>
    <w:rsid w:val="004A79C0"/>
    <w:rsid w:val="004C318C"/>
    <w:rsid w:val="004C4396"/>
    <w:rsid w:val="004D26F5"/>
    <w:rsid w:val="004D3BF0"/>
    <w:rsid w:val="004D521C"/>
    <w:rsid w:val="004D7F97"/>
    <w:rsid w:val="004E1642"/>
    <w:rsid w:val="00507EC9"/>
    <w:rsid w:val="00517EEE"/>
    <w:rsid w:val="00530338"/>
    <w:rsid w:val="00544D02"/>
    <w:rsid w:val="00556749"/>
    <w:rsid w:val="00561874"/>
    <w:rsid w:val="00566E16"/>
    <w:rsid w:val="00567889"/>
    <w:rsid w:val="00577944"/>
    <w:rsid w:val="00587ABD"/>
    <w:rsid w:val="005A7829"/>
    <w:rsid w:val="005B11FA"/>
    <w:rsid w:val="005B20A2"/>
    <w:rsid w:val="005C09FE"/>
    <w:rsid w:val="005C2D69"/>
    <w:rsid w:val="005E7931"/>
    <w:rsid w:val="005F347F"/>
    <w:rsid w:val="006004A9"/>
    <w:rsid w:val="006258B9"/>
    <w:rsid w:val="00625D80"/>
    <w:rsid w:val="00630271"/>
    <w:rsid w:val="00636C91"/>
    <w:rsid w:val="00637F7F"/>
    <w:rsid w:val="00640941"/>
    <w:rsid w:val="00640E08"/>
    <w:rsid w:val="00647C87"/>
    <w:rsid w:val="00655994"/>
    <w:rsid w:val="00661ACD"/>
    <w:rsid w:val="0066437D"/>
    <w:rsid w:val="00671D4B"/>
    <w:rsid w:val="006720F6"/>
    <w:rsid w:val="0067407A"/>
    <w:rsid w:val="00676752"/>
    <w:rsid w:val="006811F7"/>
    <w:rsid w:val="00685C81"/>
    <w:rsid w:val="00690267"/>
    <w:rsid w:val="00690C23"/>
    <w:rsid w:val="00690D2B"/>
    <w:rsid w:val="0069109E"/>
    <w:rsid w:val="00694EE1"/>
    <w:rsid w:val="006C1199"/>
    <w:rsid w:val="006D3AF7"/>
    <w:rsid w:val="006E0907"/>
    <w:rsid w:val="006F352A"/>
    <w:rsid w:val="006F4FBD"/>
    <w:rsid w:val="00716170"/>
    <w:rsid w:val="0072054E"/>
    <w:rsid w:val="00721CFC"/>
    <w:rsid w:val="00722144"/>
    <w:rsid w:val="00736590"/>
    <w:rsid w:val="0073764F"/>
    <w:rsid w:val="007411F7"/>
    <w:rsid w:val="00741CD5"/>
    <w:rsid w:val="00743476"/>
    <w:rsid w:val="00743DA9"/>
    <w:rsid w:val="00770F95"/>
    <w:rsid w:val="00775C9F"/>
    <w:rsid w:val="0077693C"/>
    <w:rsid w:val="007856D3"/>
    <w:rsid w:val="007A116D"/>
    <w:rsid w:val="007A57C9"/>
    <w:rsid w:val="007A7420"/>
    <w:rsid w:val="007B07D7"/>
    <w:rsid w:val="007B5470"/>
    <w:rsid w:val="007C6EAF"/>
    <w:rsid w:val="007E28A4"/>
    <w:rsid w:val="007E7109"/>
    <w:rsid w:val="007F1DB0"/>
    <w:rsid w:val="007F2313"/>
    <w:rsid w:val="007F32D9"/>
    <w:rsid w:val="00800237"/>
    <w:rsid w:val="0080109E"/>
    <w:rsid w:val="00804A58"/>
    <w:rsid w:val="00814B74"/>
    <w:rsid w:val="00820246"/>
    <w:rsid w:val="008233A9"/>
    <w:rsid w:val="0082360A"/>
    <w:rsid w:val="00823EC4"/>
    <w:rsid w:val="008330FB"/>
    <w:rsid w:val="00852EC8"/>
    <w:rsid w:val="00853132"/>
    <w:rsid w:val="0086498E"/>
    <w:rsid w:val="008664F9"/>
    <w:rsid w:val="00882A4C"/>
    <w:rsid w:val="00890064"/>
    <w:rsid w:val="00893339"/>
    <w:rsid w:val="008A5A76"/>
    <w:rsid w:val="008C2201"/>
    <w:rsid w:val="008C5670"/>
    <w:rsid w:val="008C5CFD"/>
    <w:rsid w:val="008C7167"/>
    <w:rsid w:val="008D2F77"/>
    <w:rsid w:val="008E0EAA"/>
    <w:rsid w:val="008E44DE"/>
    <w:rsid w:val="008E4B30"/>
    <w:rsid w:val="00914282"/>
    <w:rsid w:val="00917B1E"/>
    <w:rsid w:val="009235ED"/>
    <w:rsid w:val="00927DF6"/>
    <w:rsid w:val="00934CE8"/>
    <w:rsid w:val="00961224"/>
    <w:rsid w:val="00963605"/>
    <w:rsid w:val="00981B12"/>
    <w:rsid w:val="00982E59"/>
    <w:rsid w:val="0099130A"/>
    <w:rsid w:val="009A009D"/>
    <w:rsid w:val="009A3F3B"/>
    <w:rsid w:val="009B1115"/>
    <w:rsid w:val="009C04DF"/>
    <w:rsid w:val="009C09F6"/>
    <w:rsid w:val="009D219E"/>
    <w:rsid w:val="009D54FC"/>
    <w:rsid w:val="009E452F"/>
    <w:rsid w:val="009F5F5B"/>
    <w:rsid w:val="00A00443"/>
    <w:rsid w:val="00A00E06"/>
    <w:rsid w:val="00A04921"/>
    <w:rsid w:val="00A114E8"/>
    <w:rsid w:val="00A143D7"/>
    <w:rsid w:val="00A14A4A"/>
    <w:rsid w:val="00A33F5B"/>
    <w:rsid w:val="00A36C6C"/>
    <w:rsid w:val="00A42BF6"/>
    <w:rsid w:val="00A4799A"/>
    <w:rsid w:val="00A57DDA"/>
    <w:rsid w:val="00A61280"/>
    <w:rsid w:val="00A65C1C"/>
    <w:rsid w:val="00A72486"/>
    <w:rsid w:val="00A77164"/>
    <w:rsid w:val="00A864F9"/>
    <w:rsid w:val="00AA6866"/>
    <w:rsid w:val="00AB5FB1"/>
    <w:rsid w:val="00AC01F9"/>
    <w:rsid w:val="00AD7FB9"/>
    <w:rsid w:val="00B00C6B"/>
    <w:rsid w:val="00B100AA"/>
    <w:rsid w:val="00B154A3"/>
    <w:rsid w:val="00B33534"/>
    <w:rsid w:val="00B36EE2"/>
    <w:rsid w:val="00B50B8B"/>
    <w:rsid w:val="00B615E5"/>
    <w:rsid w:val="00B63ACC"/>
    <w:rsid w:val="00B9531E"/>
    <w:rsid w:val="00BA2813"/>
    <w:rsid w:val="00BA39EE"/>
    <w:rsid w:val="00BA6B63"/>
    <w:rsid w:val="00BB5625"/>
    <w:rsid w:val="00BD1436"/>
    <w:rsid w:val="00BF0780"/>
    <w:rsid w:val="00BF0B05"/>
    <w:rsid w:val="00BF5A4F"/>
    <w:rsid w:val="00BF7CD1"/>
    <w:rsid w:val="00C02480"/>
    <w:rsid w:val="00C10527"/>
    <w:rsid w:val="00C152DA"/>
    <w:rsid w:val="00C20F08"/>
    <w:rsid w:val="00C2285E"/>
    <w:rsid w:val="00C236EB"/>
    <w:rsid w:val="00C315BE"/>
    <w:rsid w:val="00C4062C"/>
    <w:rsid w:val="00C41F55"/>
    <w:rsid w:val="00C4576D"/>
    <w:rsid w:val="00C528AA"/>
    <w:rsid w:val="00C626CC"/>
    <w:rsid w:val="00C669EA"/>
    <w:rsid w:val="00C72FBB"/>
    <w:rsid w:val="00CA7153"/>
    <w:rsid w:val="00CC268D"/>
    <w:rsid w:val="00CD45C5"/>
    <w:rsid w:val="00CD59AE"/>
    <w:rsid w:val="00CE2563"/>
    <w:rsid w:val="00CE2800"/>
    <w:rsid w:val="00CE71A6"/>
    <w:rsid w:val="00CE7784"/>
    <w:rsid w:val="00CF0F46"/>
    <w:rsid w:val="00CF7A72"/>
    <w:rsid w:val="00D03FC8"/>
    <w:rsid w:val="00D11A06"/>
    <w:rsid w:val="00D147CE"/>
    <w:rsid w:val="00D332EF"/>
    <w:rsid w:val="00D33C15"/>
    <w:rsid w:val="00D34477"/>
    <w:rsid w:val="00D37042"/>
    <w:rsid w:val="00D417F0"/>
    <w:rsid w:val="00D44180"/>
    <w:rsid w:val="00D514F3"/>
    <w:rsid w:val="00D529B7"/>
    <w:rsid w:val="00D55295"/>
    <w:rsid w:val="00D57B10"/>
    <w:rsid w:val="00D74DE7"/>
    <w:rsid w:val="00D75974"/>
    <w:rsid w:val="00D80DEE"/>
    <w:rsid w:val="00D8775D"/>
    <w:rsid w:val="00D9422D"/>
    <w:rsid w:val="00D95463"/>
    <w:rsid w:val="00D97147"/>
    <w:rsid w:val="00DC2C70"/>
    <w:rsid w:val="00DD0228"/>
    <w:rsid w:val="00DE064C"/>
    <w:rsid w:val="00E00B8E"/>
    <w:rsid w:val="00E02517"/>
    <w:rsid w:val="00E02E04"/>
    <w:rsid w:val="00E04115"/>
    <w:rsid w:val="00E16D59"/>
    <w:rsid w:val="00E224D9"/>
    <w:rsid w:val="00E57D27"/>
    <w:rsid w:val="00E60CBB"/>
    <w:rsid w:val="00E60F37"/>
    <w:rsid w:val="00E75AE1"/>
    <w:rsid w:val="00E75B63"/>
    <w:rsid w:val="00E862A8"/>
    <w:rsid w:val="00E87FBD"/>
    <w:rsid w:val="00E90913"/>
    <w:rsid w:val="00E93E9E"/>
    <w:rsid w:val="00EA1AD6"/>
    <w:rsid w:val="00EA353B"/>
    <w:rsid w:val="00EB16E8"/>
    <w:rsid w:val="00EC5FE0"/>
    <w:rsid w:val="00ED497C"/>
    <w:rsid w:val="00ED732E"/>
    <w:rsid w:val="00EE07FC"/>
    <w:rsid w:val="00EE3EB0"/>
    <w:rsid w:val="00EF3105"/>
    <w:rsid w:val="00EF7734"/>
    <w:rsid w:val="00F01082"/>
    <w:rsid w:val="00F027B6"/>
    <w:rsid w:val="00F0335F"/>
    <w:rsid w:val="00F03F9C"/>
    <w:rsid w:val="00F144F5"/>
    <w:rsid w:val="00F14810"/>
    <w:rsid w:val="00F2635E"/>
    <w:rsid w:val="00F27EBF"/>
    <w:rsid w:val="00F369DA"/>
    <w:rsid w:val="00F531F0"/>
    <w:rsid w:val="00F82FF8"/>
    <w:rsid w:val="00F91976"/>
    <w:rsid w:val="00F92BFD"/>
    <w:rsid w:val="00F93F72"/>
    <w:rsid w:val="00F96EF4"/>
    <w:rsid w:val="00FA4181"/>
    <w:rsid w:val="00FC23B3"/>
    <w:rsid w:val="00FC7BFC"/>
    <w:rsid w:val="00FD5046"/>
    <w:rsid w:val="00FE1BE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E6C0B"/>
  <w14:defaultImageDpi w14:val="300"/>
  <w15:docId w15:val="{8D1A4835-A5AF-41A7-AF40-B8D581B0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B1"/>
    <w:pPr>
      <w:spacing w:after="200"/>
    </w:pPr>
    <w:rPr>
      <w:rFonts w:ascii="Georgia" w:hAnsi="Georgia"/>
      <w:sz w:val="24"/>
      <w:szCs w:val="24"/>
      <w:lang w:eastAsia="en-US"/>
    </w:rPr>
  </w:style>
  <w:style w:type="paragraph" w:styleId="Rubrik1">
    <w:name w:val="heading 1"/>
    <w:basedOn w:val="Normal"/>
    <w:link w:val="Rubrik1Char"/>
    <w:uiPriority w:val="9"/>
    <w:qFormat/>
    <w:rsid w:val="004A79C0"/>
    <w:pPr>
      <w:spacing w:before="100" w:beforeAutospacing="1" w:after="100" w:afterAutospacing="1"/>
      <w:outlineLvl w:val="0"/>
    </w:pPr>
    <w:rPr>
      <w:rFonts w:ascii="Times" w:hAnsi="Times"/>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41D6D"/>
    <w:pPr>
      <w:spacing w:after="0"/>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D41D6D"/>
    <w:rPr>
      <w:rFonts w:ascii="Lucida Grande" w:hAnsi="Lucida Grande"/>
      <w:sz w:val="18"/>
      <w:szCs w:val="18"/>
      <w:lang w:eastAsia="en-US"/>
    </w:rPr>
  </w:style>
  <w:style w:type="paragraph" w:styleId="Sidhuvud">
    <w:name w:val="header"/>
    <w:basedOn w:val="Normal"/>
    <w:link w:val="SidhuvudChar"/>
    <w:rsid w:val="00AB2FB6"/>
    <w:pPr>
      <w:tabs>
        <w:tab w:val="center" w:pos="4536"/>
        <w:tab w:val="right" w:pos="9072"/>
      </w:tabs>
    </w:pPr>
    <w:rPr>
      <w:rFonts w:ascii="Verdana" w:hAnsi="Verdana"/>
      <w:sz w:val="16"/>
    </w:rPr>
  </w:style>
  <w:style w:type="character" w:customStyle="1" w:styleId="SidhuvudChar">
    <w:name w:val="Sidhuvud Char"/>
    <w:basedOn w:val="Standardstycketeckensnitt"/>
    <w:link w:val="Sidhuvud"/>
    <w:rsid w:val="00AB2FB6"/>
    <w:rPr>
      <w:rFonts w:ascii="Verdana" w:hAnsi="Verdana"/>
      <w:sz w:val="16"/>
      <w:szCs w:val="24"/>
      <w:lang w:eastAsia="en-US"/>
    </w:rPr>
  </w:style>
  <w:style w:type="paragraph" w:styleId="Sidfot">
    <w:name w:val="footer"/>
    <w:basedOn w:val="Normal"/>
    <w:link w:val="SidfotChar"/>
    <w:rsid w:val="00D40EC4"/>
    <w:pPr>
      <w:tabs>
        <w:tab w:val="center" w:pos="4536"/>
        <w:tab w:val="right" w:pos="9072"/>
      </w:tabs>
    </w:pPr>
  </w:style>
  <w:style w:type="character" w:customStyle="1" w:styleId="SidfotChar">
    <w:name w:val="Sidfot Char"/>
    <w:basedOn w:val="Standardstycketeckensnitt"/>
    <w:link w:val="Sidfot"/>
    <w:rsid w:val="00D40EC4"/>
    <w:rPr>
      <w:sz w:val="24"/>
      <w:szCs w:val="24"/>
      <w:lang w:eastAsia="en-US"/>
    </w:rPr>
  </w:style>
  <w:style w:type="table" w:styleId="Tabellrutnt">
    <w:name w:val="Table Grid"/>
    <w:basedOn w:val="Normaltabell"/>
    <w:rsid w:val="00D4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dnummer">
    <w:name w:val="page number"/>
    <w:basedOn w:val="Standardstycketeckensnitt"/>
    <w:rsid w:val="005C4C52"/>
  </w:style>
  <w:style w:type="character" w:styleId="Hyperlnk">
    <w:name w:val="Hyperlink"/>
    <w:basedOn w:val="Standardstycketeckensnitt"/>
    <w:rsid w:val="007979A6"/>
    <w:rPr>
      <w:color w:val="0000FF"/>
      <w:u w:val="single"/>
    </w:rPr>
  </w:style>
  <w:style w:type="table" w:customStyle="1" w:styleId="UmUTabell">
    <w:name w:val="UmU Tabell"/>
    <w:basedOn w:val="Normaltabell"/>
    <w:rsid w:val="00F95F74"/>
    <w:pPr>
      <w:spacing w:line="240" w:lineRule="exac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Pr>
    <w:tblStylePr w:type="firstRow">
      <w:pPr>
        <w:wordWrap/>
        <w:spacing w:line="240" w:lineRule="exact"/>
      </w:pPr>
      <w:rPr>
        <w:rFonts w:ascii="Times New Roman" w:hAnsi="Times New Roman"/>
        <w:b w:val="0"/>
        <w:sz w:val="20"/>
      </w:rPr>
    </w:tblStylePr>
  </w:style>
  <w:style w:type="paragraph" w:customStyle="1" w:styleId="UmURubrik1">
    <w:name w:val="UmU Rubrik1"/>
    <w:basedOn w:val="Normal"/>
    <w:next w:val="UmUNormal"/>
    <w:qFormat/>
    <w:rsid w:val="007D1629"/>
    <w:pPr>
      <w:spacing w:after="260" w:line="360" w:lineRule="exact"/>
      <w:outlineLvl w:val="0"/>
    </w:pPr>
    <w:rPr>
      <w:sz w:val="32"/>
    </w:rPr>
  </w:style>
  <w:style w:type="paragraph" w:customStyle="1" w:styleId="UmUNormal">
    <w:name w:val="UmU Normal"/>
    <w:basedOn w:val="Normal"/>
    <w:qFormat/>
    <w:rsid w:val="00A523BD"/>
    <w:pPr>
      <w:spacing w:after="260" w:line="260" w:lineRule="exact"/>
    </w:pPr>
    <w:rPr>
      <w:sz w:val="20"/>
    </w:rPr>
  </w:style>
  <w:style w:type="paragraph" w:customStyle="1" w:styleId="UmURubrik2">
    <w:name w:val="UmU Rubrik2"/>
    <w:basedOn w:val="Normal"/>
    <w:next w:val="UmUNormal"/>
    <w:qFormat/>
    <w:rsid w:val="007D1629"/>
    <w:pPr>
      <w:spacing w:before="260" w:after="0" w:line="260" w:lineRule="exact"/>
      <w:outlineLvl w:val="1"/>
    </w:pPr>
    <w:rPr>
      <w:b/>
      <w:sz w:val="22"/>
    </w:rPr>
  </w:style>
  <w:style w:type="paragraph" w:customStyle="1" w:styleId="UmURubrik3">
    <w:name w:val="UmU Rubrik3"/>
    <w:basedOn w:val="Normal"/>
    <w:next w:val="UmUNormal"/>
    <w:qFormat/>
    <w:rsid w:val="00350B67"/>
    <w:pPr>
      <w:spacing w:before="260" w:after="0" w:line="260" w:lineRule="exact"/>
      <w:outlineLvl w:val="2"/>
    </w:pPr>
    <w:rPr>
      <w:b/>
      <w:i/>
      <w:sz w:val="20"/>
    </w:rPr>
  </w:style>
  <w:style w:type="paragraph" w:customStyle="1" w:styleId="UmURubrik4">
    <w:name w:val="UmU Rubrik4"/>
    <w:basedOn w:val="Normal"/>
    <w:next w:val="UmUNormal"/>
    <w:qFormat/>
    <w:rsid w:val="00350B67"/>
    <w:pPr>
      <w:spacing w:before="260" w:after="0" w:line="260" w:lineRule="exact"/>
      <w:outlineLvl w:val="3"/>
    </w:pPr>
    <w:rPr>
      <w:i/>
      <w:sz w:val="20"/>
    </w:rPr>
  </w:style>
  <w:style w:type="paragraph" w:customStyle="1" w:styleId="UmUSidhuvud">
    <w:name w:val="UmU Sidhuvud"/>
    <w:basedOn w:val="Sidhuvud"/>
    <w:link w:val="Default"/>
    <w:qFormat/>
    <w:rsid w:val="00A523BD"/>
    <w:pPr>
      <w:spacing w:after="0" w:line="200" w:lineRule="exact"/>
    </w:pPr>
  </w:style>
  <w:style w:type="paragraph" w:customStyle="1" w:styleId="Default">
    <w:name w:val="Default"/>
    <w:link w:val="UmUSidhuvud"/>
    <w:rsid w:val="00454F6F"/>
    <w:pPr>
      <w:autoSpaceDE w:val="0"/>
      <w:autoSpaceDN w:val="0"/>
      <w:adjustRightInd w:val="0"/>
    </w:pPr>
    <w:rPr>
      <w:rFonts w:ascii="EMHCG G+ T T 318o 00" w:eastAsia="Times New Roman" w:hAnsi="EMHCG G+ T T 318o 00" w:cs="EMHCG G+ T T 318o 00"/>
      <w:color w:val="000000"/>
      <w:sz w:val="24"/>
      <w:szCs w:val="24"/>
    </w:rPr>
  </w:style>
  <w:style w:type="paragraph" w:customStyle="1" w:styleId="UmUTabellrubrik">
    <w:name w:val="UmU Tabellrubrik"/>
    <w:basedOn w:val="UmUNormal"/>
    <w:rsid w:val="005E2719"/>
    <w:pPr>
      <w:spacing w:after="120"/>
    </w:pPr>
    <w:rPr>
      <w:b/>
      <w:sz w:val="22"/>
    </w:rPr>
  </w:style>
  <w:style w:type="paragraph" w:customStyle="1" w:styleId="UmUTabellfrklaring">
    <w:name w:val="UmU Tabellförklaring"/>
    <w:basedOn w:val="UmUNormal"/>
    <w:next w:val="UmUNormal"/>
    <w:rsid w:val="005E2719"/>
    <w:pPr>
      <w:spacing w:before="120"/>
    </w:pPr>
  </w:style>
  <w:style w:type="paragraph" w:customStyle="1" w:styleId="UmUTabelltext">
    <w:name w:val="UmU Tabelltext"/>
    <w:basedOn w:val="UmUNormal"/>
    <w:rsid w:val="005E2719"/>
    <w:pPr>
      <w:spacing w:after="0" w:line="240" w:lineRule="exact"/>
    </w:pPr>
    <w:rPr>
      <w:rFonts w:ascii="Verdana" w:hAnsi="Verdana"/>
      <w:sz w:val="18"/>
    </w:rPr>
  </w:style>
  <w:style w:type="character" w:customStyle="1" w:styleId="apple-converted-space">
    <w:name w:val="apple-converted-space"/>
    <w:basedOn w:val="Standardstycketeckensnitt"/>
    <w:rsid w:val="0043209B"/>
  </w:style>
  <w:style w:type="character" w:styleId="AnvndHyperlnk">
    <w:name w:val="FollowedHyperlink"/>
    <w:basedOn w:val="Standardstycketeckensnitt"/>
    <w:rsid w:val="00D646DF"/>
    <w:rPr>
      <w:color w:val="800080"/>
      <w:u w:val="single"/>
    </w:rPr>
  </w:style>
  <w:style w:type="paragraph" w:styleId="Liststycke">
    <w:name w:val="List Paragraph"/>
    <w:basedOn w:val="Normal"/>
    <w:uiPriority w:val="34"/>
    <w:qFormat/>
    <w:rsid w:val="00655994"/>
    <w:pPr>
      <w:ind w:left="720"/>
      <w:contextualSpacing/>
    </w:pPr>
  </w:style>
  <w:style w:type="paragraph" w:customStyle="1" w:styleId="lead">
    <w:name w:val="lead"/>
    <w:basedOn w:val="Normal"/>
    <w:rsid w:val="008664F9"/>
    <w:pPr>
      <w:spacing w:before="100" w:beforeAutospacing="1" w:after="100" w:afterAutospacing="1"/>
    </w:pPr>
    <w:rPr>
      <w:rFonts w:ascii="Times" w:hAnsi="Times"/>
      <w:sz w:val="20"/>
      <w:szCs w:val="20"/>
      <w:lang w:eastAsia="sv-SE"/>
    </w:rPr>
  </w:style>
  <w:style w:type="paragraph" w:customStyle="1" w:styleId="first">
    <w:name w:val="first"/>
    <w:basedOn w:val="Normal"/>
    <w:rsid w:val="008664F9"/>
    <w:pPr>
      <w:spacing w:before="100" w:beforeAutospacing="1" w:after="100" w:afterAutospacing="1"/>
    </w:pPr>
    <w:rPr>
      <w:rFonts w:ascii="Times" w:hAnsi="Times"/>
      <w:sz w:val="20"/>
      <w:szCs w:val="20"/>
      <w:lang w:eastAsia="sv-SE"/>
    </w:rPr>
  </w:style>
  <w:style w:type="character" w:customStyle="1" w:styleId="Rubrik1Char">
    <w:name w:val="Rubrik 1 Char"/>
    <w:basedOn w:val="Standardstycketeckensnitt"/>
    <w:link w:val="Rubrik1"/>
    <w:uiPriority w:val="9"/>
    <w:rsid w:val="004A79C0"/>
    <w:rPr>
      <w:rFonts w:ascii="Times" w:hAnsi="Times"/>
      <w:b/>
      <w:bCs/>
      <w:kern w:val="36"/>
      <w:sz w:val="48"/>
      <w:szCs w:val="48"/>
    </w:rPr>
  </w:style>
  <w:style w:type="paragraph" w:customStyle="1" w:styleId="last">
    <w:name w:val="last"/>
    <w:basedOn w:val="Normal"/>
    <w:rsid w:val="003108C1"/>
    <w:pPr>
      <w:spacing w:before="100" w:beforeAutospacing="1" w:after="100" w:afterAutospacing="1"/>
    </w:pPr>
    <w:rPr>
      <w:rFonts w:ascii="Times" w:hAnsi="Times"/>
      <w:sz w:val="20"/>
      <w:szCs w:val="20"/>
      <w:lang w:eastAsia="sv-SE"/>
    </w:rPr>
  </w:style>
  <w:style w:type="paragraph" w:styleId="Normalwebb">
    <w:name w:val="Normal (Web)"/>
    <w:basedOn w:val="Normal"/>
    <w:uiPriority w:val="99"/>
    <w:unhideWhenUsed/>
    <w:rsid w:val="00A14A4A"/>
    <w:pPr>
      <w:spacing w:before="100" w:beforeAutospacing="1" w:after="100" w:afterAutospacing="1"/>
    </w:pPr>
    <w:rPr>
      <w:rFonts w:ascii="Times" w:hAnsi="Times"/>
      <w:sz w:val="20"/>
      <w:szCs w:val="20"/>
      <w:lang w:eastAsia="sv-SE"/>
    </w:rPr>
  </w:style>
  <w:style w:type="character" w:styleId="Kommentarsreferens">
    <w:name w:val="annotation reference"/>
    <w:basedOn w:val="Standardstycketeckensnitt"/>
    <w:semiHidden/>
    <w:unhideWhenUsed/>
    <w:rsid w:val="003B3719"/>
    <w:rPr>
      <w:sz w:val="16"/>
      <w:szCs w:val="16"/>
    </w:rPr>
  </w:style>
  <w:style w:type="paragraph" w:styleId="Kommentarer">
    <w:name w:val="annotation text"/>
    <w:basedOn w:val="Normal"/>
    <w:link w:val="KommentarerChar"/>
    <w:semiHidden/>
    <w:unhideWhenUsed/>
    <w:rsid w:val="003B3719"/>
    <w:rPr>
      <w:sz w:val="20"/>
      <w:szCs w:val="20"/>
    </w:rPr>
  </w:style>
  <w:style w:type="character" w:customStyle="1" w:styleId="KommentarerChar">
    <w:name w:val="Kommentarer Char"/>
    <w:basedOn w:val="Standardstycketeckensnitt"/>
    <w:link w:val="Kommentarer"/>
    <w:semiHidden/>
    <w:rsid w:val="003B3719"/>
    <w:rPr>
      <w:rFonts w:ascii="Georgia" w:hAnsi="Georgia"/>
      <w:lang w:eastAsia="en-US"/>
    </w:rPr>
  </w:style>
  <w:style w:type="paragraph" w:styleId="Kommentarsmne">
    <w:name w:val="annotation subject"/>
    <w:basedOn w:val="Kommentarer"/>
    <w:next w:val="Kommentarer"/>
    <w:link w:val="KommentarsmneChar"/>
    <w:semiHidden/>
    <w:unhideWhenUsed/>
    <w:rsid w:val="00BB5625"/>
    <w:rPr>
      <w:b/>
      <w:bCs/>
    </w:rPr>
  </w:style>
  <w:style w:type="character" w:customStyle="1" w:styleId="KommentarsmneChar">
    <w:name w:val="Kommentarsämne Char"/>
    <w:basedOn w:val="KommentarerChar"/>
    <w:link w:val="Kommentarsmne"/>
    <w:semiHidden/>
    <w:rsid w:val="00BB5625"/>
    <w:rPr>
      <w:rFonts w:ascii="Georgia" w:hAnsi="Georg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689">
      <w:bodyDiv w:val="1"/>
      <w:marLeft w:val="0"/>
      <w:marRight w:val="0"/>
      <w:marTop w:val="0"/>
      <w:marBottom w:val="0"/>
      <w:divBdr>
        <w:top w:val="none" w:sz="0" w:space="0" w:color="auto"/>
        <w:left w:val="none" w:sz="0" w:space="0" w:color="auto"/>
        <w:bottom w:val="none" w:sz="0" w:space="0" w:color="auto"/>
        <w:right w:val="none" w:sz="0" w:space="0" w:color="auto"/>
      </w:divBdr>
    </w:div>
    <w:div w:id="44376621">
      <w:bodyDiv w:val="1"/>
      <w:marLeft w:val="0"/>
      <w:marRight w:val="0"/>
      <w:marTop w:val="0"/>
      <w:marBottom w:val="0"/>
      <w:divBdr>
        <w:top w:val="none" w:sz="0" w:space="0" w:color="auto"/>
        <w:left w:val="none" w:sz="0" w:space="0" w:color="auto"/>
        <w:bottom w:val="none" w:sz="0" w:space="0" w:color="auto"/>
        <w:right w:val="none" w:sz="0" w:space="0" w:color="auto"/>
      </w:divBdr>
    </w:div>
    <w:div w:id="60830562">
      <w:bodyDiv w:val="1"/>
      <w:marLeft w:val="0"/>
      <w:marRight w:val="0"/>
      <w:marTop w:val="0"/>
      <w:marBottom w:val="0"/>
      <w:divBdr>
        <w:top w:val="none" w:sz="0" w:space="0" w:color="auto"/>
        <w:left w:val="none" w:sz="0" w:space="0" w:color="auto"/>
        <w:bottom w:val="none" w:sz="0" w:space="0" w:color="auto"/>
        <w:right w:val="none" w:sz="0" w:space="0" w:color="auto"/>
      </w:divBdr>
    </w:div>
    <w:div w:id="154344963">
      <w:bodyDiv w:val="1"/>
      <w:marLeft w:val="0"/>
      <w:marRight w:val="0"/>
      <w:marTop w:val="0"/>
      <w:marBottom w:val="0"/>
      <w:divBdr>
        <w:top w:val="none" w:sz="0" w:space="0" w:color="auto"/>
        <w:left w:val="none" w:sz="0" w:space="0" w:color="auto"/>
        <w:bottom w:val="none" w:sz="0" w:space="0" w:color="auto"/>
        <w:right w:val="none" w:sz="0" w:space="0" w:color="auto"/>
      </w:divBdr>
    </w:div>
    <w:div w:id="227421245">
      <w:bodyDiv w:val="1"/>
      <w:marLeft w:val="0"/>
      <w:marRight w:val="0"/>
      <w:marTop w:val="0"/>
      <w:marBottom w:val="0"/>
      <w:divBdr>
        <w:top w:val="none" w:sz="0" w:space="0" w:color="auto"/>
        <w:left w:val="none" w:sz="0" w:space="0" w:color="auto"/>
        <w:bottom w:val="none" w:sz="0" w:space="0" w:color="auto"/>
        <w:right w:val="none" w:sz="0" w:space="0" w:color="auto"/>
      </w:divBdr>
    </w:div>
    <w:div w:id="258416555">
      <w:bodyDiv w:val="1"/>
      <w:marLeft w:val="0"/>
      <w:marRight w:val="0"/>
      <w:marTop w:val="0"/>
      <w:marBottom w:val="0"/>
      <w:divBdr>
        <w:top w:val="none" w:sz="0" w:space="0" w:color="auto"/>
        <w:left w:val="none" w:sz="0" w:space="0" w:color="auto"/>
        <w:bottom w:val="none" w:sz="0" w:space="0" w:color="auto"/>
        <w:right w:val="none" w:sz="0" w:space="0" w:color="auto"/>
      </w:divBdr>
      <w:divsChild>
        <w:div w:id="776407041">
          <w:marLeft w:val="0"/>
          <w:marRight w:val="240"/>
          <w:marTop w:val="0"/>
          <w:marBottom w:val="408"/>
          <w:divBdr>
            <w:top w:val="none" w:sz="0" w:space="0" w:color="auto"/>
            <w:left w:val="none" w:sz="0" w:space="0" w:color="auto"/>
            <w:bottom w:val="none" w:sz="0" w:space="0" w:color="auto"/>
            <w:right w:val="none" w:sz="0" w:space="0" w:color="auto"/>
          </w:divBdr>
        </w:div>
        <w:div w:id="570654149">
          <w:marLeft w:val="0"/>
          <w:marRight w:val="135"/>
          <w:marTop w:val="0"/>
          <w:marBottom w:val="0"/>
          <w:divBdr>
            <w:top w:val="none" w:sz="0" w:space="0" w:color="auto"/>
            <w:left w:val="none" w:sz="0" w:space="0" w:color="auto"/>
            <w:bottom w:val="none" w:sz="0" w:space="0" w:color="auto"/>
            <w:right w:val="none" w:sz="0" w:space="0" w:color="auto"/>
          </w:divBdr>
        </w:div>
      </w:divsChild>
    </w:div>
    <w:div w:id="320275617">
      <w:bodyDiv w:val="1"/>
      <w:marLeft w:val="0"/>
      <w:marRight w:val="0"/>
      <w:marTop w:val="0"/>
      <w:marBottom w:val="0"/>
      <w:divBdr>
        <w:top w:val="none" w:sz="0" w:space="0" w:color="auto"/>
        <w:left w:val="none" w:sz="0" w:space="0" w:color="auto"/>
        <w:bottom w:val="none" w:sz="0" w:space="0" w:color="auto"/>
        <w:right w:val="none" w:sz="0" w:space="0" w:color="auto"/>
      </w:divBdr>
      <w:divsChild>
        <w:div w:id="32273618">
          <w:marLeft w:val="0"/>
          <w:marRight w:val="240"/>
          <w:marTop w:val="0"/>
          <w:marBottom w:val="408"/>
          <w:divBdr>
            <w:top w:val="none" w:sz="0" w:space="0" w:color="auto"/>
            <w:left w:val="none" w:sz="0" w:space="0" w:color="auto"/>
            <w:bottom w:val="none" w:sz="0" w:space="0" w:color="auto"/>
            <w:right w:val="none" w:sz="0" w:space="0" w:color="auto"/>
          </w:divBdr>
        </w:div>
        <w:div w:id="883785000">
          <w:marLeft w:val="0"/>
          <w:marRight w:val="135"/>
          <w:marTop w:val="0"/>
          <w:marBottom w:val="0"/>
          <w:divBdr>
            <w:top w:val="none" w:sz="0" w:space="0" w:color="auto"/>
            <w:left w:val="none" w:sz="0" w:space="0" w:color="auto"/>
            <w:bottom w:val="none" w:sz="0" w:space="0" w:color="auto"/>
            <w:right w:val="none" w:sz="0" w:space="0" w:color="auto"/>
          </w:divBdr>
        </w:div>
      </w:divsChild>
    </w:div>
    <w:div w:id="344671955">
      <w:bodyDiv w:val="1"/>
      <w:marLeft w:val="0"/>
      <w:marRight w:val="0"/>
      <w:marTop w:val="0"/>
      <w:marBottom w:val="0"/>
      <w:divBdr>
        <w:top w:val="none" w:sz="0" w:space="0" w:color="auto"/>
        <w:left w:val="none" w:sz="0" w:space="0" w:color="auto"/>
        <w:bottom w:val="none" w:sz="0" w:space="0" w:color="auto"/>
        <w:right w:val="none" w:sz="0" w:space="0" w:color="auto"/>
      </w:divBdr>
    </w:div>
    <w:div w:id="395661637">
      <w:bodyDiv w:val="1"/>
      <w:marLeft w:val="0"/>
      <w:marRight w:val="0"/>
      <w:marTop w:val="0"/>
      <w:marBottom w:val="0"/>
      <w:divBdr>
        <w:top w:val="none" w:sz="0" w:space="0" w:color="auto"/>
        <w:left w:val="none" w:sz="0" w:space="0" w:color="auto"/>
        <w:bottom w:val="none" w:sz="0" w:space="0" w:color="auto"/>
        <w:right w:val="none" w:sz="0" w:space="0" w:color="auto"/>
      </w:divBdr>
    </w:div>
    <w:div w:id="477495725">
      <w:bodyDiv w:val="1"/>
      <w:marLeft w:val="0"/>
      <w:marRight w:val="0"/>
      <w:marTop w:val="0"/>
      <w:marBottom w:val="0"/>
      <w:divBdr>
        <w:top w:val="none" w:sz="0" w:space="0" w:color="auto"/>
        <w:left w:val="none" w:sz="0" w:space="0" w:color="auto"/>
        <w:bottom w:val="none" w:sz="0" w:space="0" w:color="auto"/>
        <w:right w:val="none" w:sz="0" w:space="0" w:color="auto"/>
      </w:divBdr>
    </w:div>
    <w:div w:id="546449040">
      <w:bodyDiv w:val="1"/>
      <w:marLeft w:val="0"/>
      <w:marRight w:val="0"/>
      <w:marTop w:val="0"/>
      <w:marBottom w:val="0"/>
      <w:divBdr>
        <w:top w:val="none" w:sz="0" w:space="0" w:color="auto"/>
        <w:left w:val="none" w:sz="0" w:space="0" w:color="auto"/>
        <w:bottom w:val="none" w:sz="0" w:space="0" w:color="auto"/>
        <w:right w:val="none" w:sz="0" w:space="0" w:color="auto"/>
      </w:divBdr>
      <w:divsChild>
        <w:div w:id="1012296888">
          <w:marLeft w:val="0"/>
          <w:marRight w:val="240"/>
          <w:marTop w:val="0"/>
          <w:marBottom w:val="408"/>
          <w:divBdr>
            <w:top w:val="none" w:sz="0" w:space="0" w:color="auto"/>
            <w:left w:val="none" w:sz="0" w:space="0" w:color="auto"/>
            <w:bottom w:val="none" w:sz="0" w:space="0" w:color="auto"/>
            <w:right w:val="none" w:sz="0" w:space="0" w:color="auto"/>
          </w:divBdr>
        </w:div>
        <w:div w:id="2136868615">
          <w:marLeft w:val="0"/>
          <w:marRight w:val="135"/>
          <w:marTop w:val="0"/>
          <w:marBottom w:val="0"/>
          <w:divBdr>
            <w:top w:val="none" w:sz="0" w:space="0" w:color="auto"/>
            <w:left w:val="none" w:sz="0" w:space="0" w:color="auto"/>
            <w:bottom w:val="none" w:sz="0" w:space="0" w:color="auto"/>
            <w:right w:val="none" w:sz="0" w:space="0" w:color="auto"/>
          </w:divBdr>
        </w:div>
      </w:divsChild>
    </w:div>
    <w:div w:id="641689134">
      <w:bodyDiv w:val="1"/>
      <w:marLeft w:val="0"/>
      <w:marRight w:val="0"/>
      <w:marTop w:val="0"/>
      <w:marBottom w:val="0"/>
      <w:divBdr>
        <w:top w:val="none" w:sz="0" w:space="0" w:color="auto"/>
        <w:left w:val="none" w:sz="0" w:space="0" w:color="auto"/>
        <w:bottom w:val="none" w:sz="0" w:space="0" w:color="auto"/>
        <w:right w:val="none" w:sz="0" w:space="0" w:color="auto"/>
      </w:divBdr>
    </w:div>
    <w:div w:id="687104243">
      <w:bodyDiv w:val="1"/>
      <w:marLeft w:val="0"/>
      <w:marRight w:val="0"/>
      <w:marTop w:val="0"/>
      <w:marBottom w:val="0"/>
      <w:divBdr>
        <w:top w:val="none" w:sz="0" w:space="0" w:color="auto"/>
        <w:left w:val="none" w:sz="0" w:space="0" w:color="auto"/>
        <w:bottom w:val="none" w:sz="0" w:space="0" w:color="auto"/>
        <w:right w:val="none" w:sz="0" w:space="0" w:color="auto"/>
      </w:divBdr>
    </w:div>
    <w:div w:id="1182741276">
      <w:bodyDiv w:val="1"/>
      <w:marLeft w:val="0"/>
      <w:marRight w:val="0"/>
      <w:marTop w:val="0"/>
      <w:marBottom w:val="0"/>
      <w:divBdr>
        <w:top w:val="none" w:sz="0" w:space="0" w:color="auto"/>
        <w:left w:val="none" w:sz="0" w:space="0" w:color="auto"/>
        <w:bottom w:val="none" w:sz="0" w:space="0" w:color="auto"/>
        <w:right w:val="none" w:sz="0" w:space="0" w:color="auto"/>
      </w:divBdr>
    </w:div>
    <w:div w:id="1193810397">
      <w:bodyDiv w:val="1"/>
      <w:marLeft w:val="0"/>
      <w:marRight w:val="0"/>
      <w:marTop w:val="0"/>
      <w:marBottom w:val="0"/>
      <w:divBdr>
        <w:top w:val="none" w:sz="0" w:space="0" w:color="auto"/>
        <w:left w:val="none" w:sz="0" w:space="0" w:color="auto"/>
        <w:bottom w:val="none" w:sz="0" w:space="0" w:color="auto"/>
        <w:right w:val="none" w:sz="0" w:space="0" w:color="auto"/>
      </w:divBdr>
      <w:divsChild>
        <w:div w:id="527178478">
          <w:marLeft w:val="0"/>
          <w:marRight w:val="240"/>
          <w:marTop w:val="0"/>
          <w:marBottom w:val="408"/>
          <w:divBdr>
            <w:top w:val="none" w:sz="0" w:space="0" w:color="auto"/>
            <w:left w:val="none" w:sz="0" w:space="0" w:color="auto"/>
            <w:bottom w:val="none" w:sz="0" w:space="0" w:color="auto"/>
            <w:right w:val="none" w:sz="0" w:space="0" w:color="auto"/>
          </w:divBdr>
        </w:div>
        <w:div w:id="2013609129">
          <w:marLeft w:val="0"/>
          <w:marRight w:val="135"/>
          <w:marTop w:val="0"/>
          <w:marBottom w:val="0"/>
          <w:divBdr>
            <w:top w:val="none" w:sz="0" w:space="0" w:color="auto"/>
            <w:left w:val="none" w:sz="0" w:space="0" w:color="auto"/>
            <w:bottom w:val="none" w:sz="0" w:space="0" w:color="auto"/>
            <w:right w:val="none" w:sz="0" w:space="0" w:color="auto"/>
          </w:divBdr>
          <w:divsChild>
            <w:div w:id="950210964">
              <w:marLeft w:val="0"/>
              <w:marRight w:val="0"/>
              <w:marTop w:val="336"/>
              <w:marBottom w:val="336"/>
              <w:divBdr>
                <w:top w:val="single" w:sz="6" w:space="8" w:color="CCCCCC"/>
                <w:left w:val="none" w:sz="0" w:space="0" w:color="auto"/>
                <w:bottom w:val="single" w:sz="6" w:space="8" w:color="CCCCCC"/>
                <w:right w:val="none" w:sz="0" w:space="0" w:color="auto"/>
              </w:divBdr>
            </w:div>
          </w:divsChild>
        </w:div>
      </w:divsChild>
    </w:div>
    <w:div w:id="1392968363">
      <w:bodyDiv w:val="1"/>
      <w:marLeft w:val="0"/>
      <w:marRight w:val="0"/>
      <w:marTop w:val="0"/>
      <w:marBottom w:val="0"/>
      <w:divBdr>
        <w:top w:val="none" w:sz="0" w:space="0" w:color="auto"/>
        <w:left w:val="none" w:sz="0" w:space="0" w:color="auto"/>
        <w:bottom w:val="none" w:sz="0" w:space="0" w:color="auto"/>
        <w:right w:val="none" w:sz="0" w:space="0" w:color="auto"/>
      </w:divBdr>
      <w:divsChild>
        <w:div w:id="965886807">
          <w:marLeft w:val="0"/>
          <w:marRight w:val="240"/>
          <w:marTop w:val="0"/>
          <w:marBottom w:val="408"/>
          <w:divBdr>
            <w:top w:val="none" w:sz="0" w:space="0" w:color="auto"/>
            <w:left w:val="none" w:sz="0" w:space="0" w:color="auto"/>
            <w:bottom w:val="none" w:sz="0" w:space="0" w:color="auto"/>
            <w:right w:val="none" w:sz="0" w:space="0" w:color="auto"/>
          </w:divBdr>
        </w:div>
        <w:div w:id="1800830653">
          <w:marLeft w:val="0"/>
          <w:marRight w:val="135"/>
          <w:marTop w:val="0"/>
          <w:marBottom w:val="0"/>
          <w:divBdr>
            <w:top w:val="none" w:sz="0" w:space="0" w:color="auto"/>
            <w:left w:val="none" w:sz="0" w:space="0" w:color="auto"/>
            <w:bottom w:val="none" w:sz="0" w:space="0" w:color="auto"/>
            <w:right w:val="none" w:sz="0" w:space="0" w:color="auto"/>
          </w:divBdr>
        </w:div>
      </w:divsChild>
    </w:div>
    <w:div w:id="1641570255">
      <w:bodyDiv w:val="1"/>
      <w:marLeft w:val="0"/>
      <w:marRight w:val="0"/>
      <w:marTop w:val="0"/>
      <w:marBottom w:val="0"/>
      <w:divBdr>
        <w:top w:val="none" w:sz="0" w:space="0" w:color="auto"/>
        <w:left w:val="none" w:sz="0" w:space="0" w:color="auto"/>
        <w:bottom w:val="none" w:sz="0" w:space="0" w:color="auto"/>
        <w:right w:val="none" w:sz="0" w:space="0" w:color="auto"/>
      </w:divBdr>
      <w:divsChild>
        <w:div w:id="753359189">
          <w:marLeft w:val="0"/>
          <w:marRight w:val="240"/>
          <w:marTop w:val="0"/>
          <w:marBottom w:val="408"/>
          <w:divBdr>
            <w:top w:val="none" w:sz="0" w:space="0" w:color="auto"/>
            <w:left w:val="none" w:sz="0" w:space="0" w:color="auto"/>
            <w:bottom w:val="none" w:sz="0" w:space="0" w:color="auto"/>
            <w:right w:val="none" w:sz="0" w:space="0" w:color="auto"/>
          </w:divBdr>
        </w:div>
        <w:div w:id="1598562362">
          <w:marLeft w:val="0"/>
          <w:marRight w:val="135"/>
          <w:marTop w:val="0"/>
          <w:marBottom w:val="0"/>
          <w:divBdr>
            <w:top w:val="none" w:sz="0" w:space="0" w:color="auto"/>
            <w:left w:val="none" w:sz="0" w:space="0" w:color="auto"/>
            <w:bottom w:val="none" w:sz="0" w:space="0" w:color="auto"/>
            <w:right w:val="none" w:sz="0" w:space="0" w:color="auto"/>
          </w:divBdr>
          <w:divsChild>
            <w:div w:id="788015706">
              <w:marLeft w:val="0"/>
              <w:marRight w:val="0"/>
              <w:marTop w:val="336"/>
              <w:marBottom w:val="336"/>
              <w:divBdr>
                <w:top w:val="single" w:sz="6" w:space="8" w:color="CCCCCC"/>
                <w:left w:val="none" w:sz="0" w:space="0" w:color="auto"/>
                <w:bottom w:val="single" w:sz="6" w:space="8" w:color="CCCCCC"/>
                <w:right w:val="none" w:sz="0" w:space="0" w:color="auto"/>
              </w:divBdr>
            </w:div>
          </w:divsChild>
        </w:div>
      </w:divsChild>
    </w:div>
    <w:div w:id="2002807180">
      <w:bodyDiv w:val="1"/>
      <w:marLeft w:val="0"/>
      <w:marRight w:val="0"/>
      <w:marTop w:val="0"/>
      <w:marBottom w:val="0"/>
      <w:divBdr>
        <w:top w:val="none" w:sz="0" w:space="0" w:color="auto"/>
        <w:left w:val="none" w:sz="0" w:space="0" w:color="auto"/>
        <w:bottom w:val="none" w:sz="0" w:space="0" w:color="auto"/>
        <w:right w:val="none" w:sz="0" w:space="0" w:color="auto"/>
      </w:divBdr>
    </w:div>
    <w:div w:id="2111507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35B1-D880-4067-A137-FC44C312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4760</Words>
  <Characters>25232</Characters>
  <Application>Microsoft Office Word</Application>
  <DocSecurity>0</DocSecurity>
  <Lines>210</Lines>
  <Paragraphs>59</Paragraphs>
  <ScaleCrop>false</ScaleCrop>
  <HeadingPairs>
    <vt:vector size="2" baseType="variant">
      <vt:variant>
        <vt:lpstr>Rubrik</vt:lpstr>
      </vt:variant>
      <vt:variant>
        <vt:i4>1</vt:i4>
      </vt:variant>
    </vt:vector>
  </HeadingPairs>
  <TitlesOfParts>
    <vt:vector size="1" baseType="lpstr">
      <vt:lpstr>Grunddokument 2</vt:lpstr>
    </vt:vector>
  </TitlesOfParts>
  <Company>Umeå universitet</Company>
  <LinksUpToDate>false</LinksUpToDate>
  <CharactersWithSpaces>29933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Grunddokument 2</dc:title>
  <dc:subject/>
  <dc:creator>Jonas Sundström</dc:creator>
  <cp:keywords/>
  <cp:lastModifiedBy>Per Ragnarsson</cp:lastModifiedBy>
  <cp:revision>3</cp:revision>
  <cp:lastPrinted>2015-09-21T12:16:00Z</cp:lastPrinted>
  <dcterms:created xsi:type="dcterms:W3CDTF">2015-09-24T08:49:00Z</dcterms:created>
  <dcterms:modified xsi:type="dcterms:W3CDTF">2015-09-24T08:52:00Z</dcterms:modified>
</cp:coreProperties>
</file>