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37" w:rsidRPr="0002663C" w:rsidRDefault="00C06D37" w:rsidP="00C06D3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877C7C">
        <w:rPr>
          <w:rFonts w:asciiTheme="majorHAnsi" w:hAnsiTheme="majorHAnsi"/>
          <w:b/>
          <w:sz w:val="28"/>
          <w:szCs w:val="28"/>
        </w:rPr>
        <w:t xml:space="preserve">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 w:rsidR="00877C7C">
        <w:rPr>
          <w:rFonts w:asciiTheme="majorHAnsi" w:hAnsiTheme="majorHAnsi"/>
          <w:b/>
          <w:sz w:val="28"/>
          <w:szCs w:val="28"/>
        </w:rPr>
        <w:t xml:space="preserve"> 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:rsidR="00C06D37" w:rsidRPr="0002663C" w:rsidRDefault="00C06D37" w:rsidP="00C06D3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C06D37" w:rsidRPr="0002663C" w:rsidRDefault="00C06D37" w:rsidP="00C06D37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34F3F" w:rsidRDefault="001C1945" w:rsidP="00B34F3F">
      <w:pPr>
        <w:pStyle w:val="Ingetavstnd"/>
        <w:rPr>
          <w:rFonts w:asciiTheme="majorHAnsi" w:hAnsiTheme="majorHAnsi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944D39">
        <w:rPr>
          <w:rFonts w:asciiTheme="majorHAnsi" w:hAnsiTheme="majorHAnsi"/>
          <w:b/>
          <w:color w:val="8496B0" w:themeColor="text2" w:themeTint="99"/>
        </w:rPr>
        <w:tab/>
      </w:r>
      <w:r w:rsidR="00B34F3F">
        <w:rPr>
          <w:rFonts w:asciiTheme="majorHAnsi" w:hAnsiTheme="majorHAnsi"/>
        </w:rPr>
        <w:t>Att undervisa i bild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6ES096</w:t>
      </w:r>
    </w:p>
    <w:p w:rsidR="00414B8C" w:rsidRDefault="00B34F3F" w:rsidP="001C1945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414B8C">
        <w:rPr>
          <w:rFonts w:asciiTheme="majorHAnsi" w:hAnsiTheme="majorHAnsi"/>
        </w:rPr>
        <w:t>Att undervisa i biologi</w:t>
      </w:r>
      <w:r w:rsidR="001E108C">
        <w:rPr>
          <w:rFonts w:asciiTheme="majorHAnsi" w:hAnsiTheme="majorHAnsi"/>
        </w:rPr>
        <w:t xml:space="preserve"> 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proofErr w:type="spellStart"/>
      <w:r w:rsidR="001E108C" w:rsidRPr="00F23F65">
        <w:rPr>
          <w:rFonts w:asciiTheme="majorHAnsi" w:hAnsiTheme="majorHAnsi"/>
          <w:b/>
        </w:rPr>
        <w:t>Kurskod</w:t>
      </w:r>
      <w:proofErr w:type="spellEnd"/>
      <w:r w:rsidR="001E108C" w:rsidRPr="00F23F65">
        <w:rPr>
          <w:rFonts w:asciiTheme="majorHAnsi" w:hAnsiTheme="majorHAnsi"/>
          <w:b/>
        </w:rPr>
        <w:t>:</w:t>
      </w:r>
      <w:r w:rsidR="00FE086E">
        <w:rPr>
          <w:rFonts w:asciiTheme="majorHAnsi" w:hAnsiTheme="majorHAnsi"/>
        </w:rPr>
        <w:t xml:space="preserve"> </w:t>
      </w:r>
      <w:r w:rsidR="00FE086E">
        <w:rPr>
          <w:rFonts w:asciiTheme="majorHAnsi" w:hAnsiTheme="majorHAnsi"/>
        </w:rPr>
        <w:tab/>
        <w:t>6PE269</w:t>
      </w:r>
    </w:p>
    <w:p w:rsidR="00414B8C" w:rsidRDefault="00414B8C" w:rsidP="001E108C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ab/>
        <w:t>Att undervisa i engelska</w:t>
      </w:r>
      <w:r w:rsidR="001E108C">
        <w:rPr>
          <w:rFonts w:asciiTheme="majorHAnsi" w:hAnsiTheme="majorHAnsi"/>
        </w:rPr>
        <w:t xml:space="preserve"> 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6EN038</w:t>
      </w:r>
    </w:p>
    <w:p w:rsidR="00B34F3F" w:rsidRDefault="00B34F3F" w:rsidP="001E108C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>Att undervisa i geografi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6KG009</w:t>
      </w:r>
    </w:p>
    <w:p w:rsidR="00414B8C" w:rsidRDefault="00944D39" w:rsidP="00414B8C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historia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6HI032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>Att undervisa i idrott och hälsa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6PE271</w:t>
      </w:r>
      <w:r w:rsidR="00B34F3F">
        <w:rPr>
          <w:rFonts w:asciiTheme="majorHAnsi" w:hAnsiTheme="majorHAnsi"/>
        </w:rPr>
        <w:br/>
        <w:t xml:space="preserve"> </w:t>
      </w:r>
      <w:r w:rsidR="00B34F3F">
        <w:rPr>
          <w:rFonts w:asciiTheme="majorHAnsi" w:hAnsiTheme="majorHAnsi"/>
        </w:rPr>
        <w:tab/>
      </w:r>
      <w:r>
        <w:rPr>
          <w:rFonts w:asciiTheme="majorHAnsi" w:hAnsiTheme="majorHAnsi"/>
        </w:rPr>
        <w:t>Att undervisa i matematik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6MA049</w:t>
      </w:r>
    </w:p>
    <w:p w:rsidR="00B34F3F" w:rsidRDefault="00B34F3F" w:rsidP="00B34F3F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musik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6ES095</w:t>
      </w:r>
    </w:p>
    <w:p w:rsidR="00B34F3F" w:rsidRDefault="00414B8C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naturkunskap</w:t>
      </w:r>
      <w:r w:rsidR="00FE086E">
        <w:rPr>
          <w:rFonts w:asciiTheme="majorHAnsi" w:hAnsiTheme="majorHAnsi"/>
        </w:rPr>
        <w:tab/>
      </w:r>
      <w:r w:rsidR="00FE086E">
        <w:rPr>
          <w:rFonts w:asciiTheme="majorHAnsi" w:hAnsiTheme="majorHAnsi"/>
        </w:rPr>
        <w:tab/>
      </w:r>
      <w:r w:rsidR="00FE086E">
        <w:rPr>
          <w:rFonts w:asciiTheme="majorHAnsi" w:hAnsiTheme="majorHAnsi"/>
        </w:rPr>
        <w:tab/>
        <w:t>6PE270</w:t>
      </w:r>
      <w:r w:rsidR="00944D39">
        <w:rPr>
          <w:rFonts w:asciiTheme="majorHAnsi" w:hAnsiTheme="majorHAnsi"/>
        </w:rPr>
        <w:br/>
        <w:t>Att undervisa i religion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6RV019</w:t>
      </w:r>
      <w:r w:rsidR="00944D39">
        <w:rPr>
          <w:rFonts w:asciiTheme="majorHAnsi" w:hAnsiTheme="majorHAnsi"/>
        </w:rPr>
        <w:br/>
        <w:t>Att undervisa i samhällskunskap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</w:t>
      </w:r>
      <w:r w:rsidR="00C77382">
        <w:rPr>
          <w:rFonts w:asciiTheme="majorHAnsi" w:hAnsiTheme="majorHAnsi"/>
        </w:rPr>
        <w:t>PE272</w:t>
      </w:r>
      <w:r w:rsidR="00944D39">
        <w:rPr>
          <w:rFonts w:asciiTheme="majorHAnsi" w:hAnsiTheme="majorHAnsi"/>
        </w:rPr>
        <w:br/>
      </w:r>
      <w:r w:rsidR="00B34F3F">
        <w:rPr>
          <w:rFonts w:asciiTheme="majorHAnsi" w:hAnsiTheme="majorHAnsi"/>
        </w:rPr>
        <w:t>Att undervisa i slöjd-textil</w:t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</w:r>
      <w:r w:rsidR="00B34F3F">
        <w:rPr>
          <w:rFonts w:asciiTheme="majorHAnsi" w:hAnsiTheme="majorHAnsi"/>
        </w:rPr>
        <w:tab/>
        <w:t>6ES097</w:t>
      </w:r>
    </w:p>
    <w:p w:rsidR="001C1945" w:rsidRDefault="00B34F3F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slöjd-trä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6ES098</w:t>
      </w:r>
      <w:r>
        <w:rPr>
          <w:rFonts w:asciiTheme="majorHAnsi" w:hAnsiTheme="majorHAnsi"/>
        </w:rPr>
        <w:br/>
        <w:t>Att undervisa i spanska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6SA013</w:t>
      </w:r>
      <w:r>
        <w:rPr>
          <w:rFonts w:asciiTheme="majorHAnsi" w:hAnsiTheme="majorHAnsi"/>
        </w:rPr>
        <w:br/>
      </w:r>
      <w:r w:rsidR="00944D39">
        <w:rPr>
          <w:rFonts w:asciiTheme="majorHAnsi" w:hAnsiTheme="majorHAnsi"/>
        </w:rPr>
        <w:t>Att undervisa i svenska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6SV058</w:t>
      </w:r>
    </w:p>
    <w:p w:rsidR="00414B8C" w:rsidRDefault="00414B8C" w:rsidP="00414B8C">
      <w:pPr>
        <w:pStyle w:val="Ingetavstnd"/>
        <w:ind w:firstLine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svenska som andraspråk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6SV057</w:t>
      </w:r>
    </w:p>
    <w:p w:rsidR="00B34F3F" w:rsidRDefault="00414B8C" w:rsidP="00B34F3F">
      <w:pPr>
        <w:pStyle w:val="Ingetavstnd"/>
        <w:ind w:left="1304"/>
        <w:rPr>
          <w:rFonts w:asciiTheme="majorHAnsi" w:hAnsiTheme="majorHAnsi"/>
        </w:rPr>
      </w:pPr>
      <w:r>
        <w:rPr>
          <w:rFonts w:asciiTheme="majorHAnsi" w:hAnsiTheme="majorHAnsi"/>
        </w:rPr>
        <w:t>Att undervisa i tyska</w:t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</w:r>
      <w:r w:rsidR="001E108C">
        <w:rPr>
          <w:rFonts w:asciiTheme="majorHAnsi" w:hAnsiTheme="majorHAnsi"/>
        </w:rPr>
        <w:tab/>
        <w:t>6TY021</w:t>
      </w:r>
      <w:r w:rsidR="00C77382">
        <w:rPr>
          <w:rFonts w:asciiTheme="majorHAnsi" w:hAnsiTheme="majorHAnsi"/>
        </w:rPr>
        <w:br/>
      </w:r>
    </w:p>
    <w:p w:rsidR="00877C7C" w:rsidRPr="0002663C" w:rsidRDefault="00C06D37" w:rsidP="00B34F3F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  <w:b/>
        </w:rPr>
        <w:t xml:space="preserve">Termin 5 i </w:t>
      </w:r>
      <w:r w:rsidR="00877C7C">
        <w:rPr>
          <w:rFonts w:asciiTheme="majorHAnsi" w:hAnsiTheme="majorHAnsi"/>
          <w:b/>
        </w:rPr>
        <w:t>Ämneslärar</w:t>
      </w:r>
      <w:r>
        <w:rPr>
          <w:rFonts w:asciiTheme="majorHAnsi" w:hAnsiTheme="majorHAnsi"/>
          <w:b/>
        </w:rPr>
        <w:t>programmet</w:t>
      </w:r>
      <w:r w:rsidR="00877C7C">
        <w:rPr>
          <w:rFonts w:asciiTheme="majorHAnsi" w:hAnsiTheme="majorHAnsi"/>
          <w:b/>
        </w:rPr>
        <w:t xml:space="preserve"> </w:t>
      </w:r>
      <w:proofErr w:type="gramStart"/>
      <w:r w:rsidR="00877C7C">
        <w:rPr>
          <w:rFonts w:asciiTheme="majorHAnsi" w:hAnsiTheme="majorHAnsi"/>
          <w:b/>
        </w:rPr>
        <w:t>7-9</w:t>
      </w:r>
      <w:proofErr w:type="gramEnd"/>
      <w:r w:rsidR="00877C7C">
        <w:rPr>
          <w:rFonts w:asciiTheme="majorHAnsi" w:hAnsiTheme="majorHAnsi"/>
          <w:b/>
        </w:rPr>
        <w:t xml:space="preserve"> </w:t>
      </w:r>
      <w:r w:rsidR="00796CB1">
        <w:rPr>
          <w:rFonts w:asciiTheme="majorHAnsi" w:hAnsiTheme="majorHAnsi"/>
          <w:b/>
        </w:rPr>
        <w:t xml:space="preserve">och </w:t>
      </w:r>
      <w:r w:rsidR="00877C7C">
        <w:rPr>
          <w:rFonts w:asciiTheme="majorHAnsi" w:hAnsiTheme="majorHAnsi"/>
          <w:b/>
        </w:rPr>
        <w:t xml:space="preserve">Ämneslärarprogrammet Gymnasiet </w:t>
      </w:r>
      <w:r w:rsidR="00944D39">
        <w:rPr>
          <w:rFonts w:asciiTheme="majorHAnsi" w:hAnsiTheme="majorHAnsi"/>
          <w:b/>
        </w:rPr>
        <w:br/>
      </w:r>
    </w:p>
    <w:p w:rsidR="00222C41" w:rsidRPr="0002663C" w:rsidRDefault="00605E7A" w:rsidP="00222C41">
      <w:pPr>
        <w:spacing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VFU-period: 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Kontaktuppgifter"/>
        <w:tblDescription w:val="Kontaktuppgfifter"/>
      </w:tblPr>
      <w:tblGrid>
        <w:gridCol w:w="2979"/>
        <w:gridCol w:w="3020"/>
        <w:gridCol w:w="3057"/>
      </w:tblGrid>
      <w:tr w:rsidR="00222C41" w:rsidRPr="0007399D" w:rsidTr="00F73996">
        <w:tc>
          <w:tcPr>
            <w:tcW w:w="2979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605E7A" w:rsidRPr="00605E7A" w:rsidRDefault="00605E7A" w:rsidP="00F73996">
            <w:pPr>
              <w:rPr>
                <w:rFonts w:asciiTheme="majorHAnsi" w:hAnsiTheme="majorHAnsi"/>
                <w:sz w:val="20"/>
                <w:szCs w:val="20"/>
              </w:rPr>
            </w:pPr>
            <w:r w:rsidRPr="00605E7A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:rsidR="00605E7A" w:rsidRPr="0007399D" w:rsidRDefault="00605E7A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5E7A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22C41" w:rsidRPr="0007399D" w:rsidTr="00F73996">
        <w:tc>
          <w:tcPr>
            <w:tcW w:w="2979" w:type="dxa"/>
          </w:tcPr>
          <w:p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222C41" w:rsidRPr="00796CB1" w:rsidRDefault="00222C41" w:rsidP="000252EE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796CB1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  <w:r w:rsidR="00796CB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96CB1"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posta underlag för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22C41" w:rsidRPr="0007399D" w:rsidTr="00F73996">
        <w:tc>
          <w:tcPr>
            <w:tcW w:w="2979" w:type="dxa"/>
          </w:tcPr>
          <w:p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:rsidR="00222C41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Detta dokument används som 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796CB1" w:rsidRPr="00FF3E90">
        <w:rPr>
          <w:rFonts w:asciiTheme="majorHAnsi" w:hAnsiTheme="majorHAnsi" w:cs="Times New Roman"/>
          <w:sz w:val="20"/>
          <w:szCs w:val="20"/>
        </w:rPr>
        <w:t xml:space="preserve">Läs </w:t>
      </w:r>
      <w:r w:rsidR="00AC065A">
        <w:rPr>
          <w:rFonts w:asciiTheme="majorHAnsi" w:hAnsiTheme="majorHAnsi" w:cs="Times New Roman"/>
          <w:sz w:val="20"/>
          <w:szCs w:val="20"/>
        </w:rPr>
        <w:t xml:space="preserve">mer på sid </w:t>
      </w:r>
      <w:r w:rsidR="00D75138">
        <w:rPr>
          <w:rFonts w:asciiTheme="majorHAnsi" w:hAnsiTheme="majorHAnsi" w:cs="Times New Roman"/>
          <w:sz w:val="20"/>
          <w:szCs w:val="20"/>
        </w:rPr>
        <w:t>6</w:t>
      </w:r>
      <w:r w:rsidR="00796CB1" w:rsidRPr="00222C41">
        <w:rPr>
          <w:rFonts w:asciiTheme="majorHAnsi" w:hAnsiTheme="majorHAnsi" w:cs="Times New Roman"/>
          <w:sz w:val="20"/>
          <w:szCs w:val="20"/>
        </w:rPr>
        <w:t>.</w:t>
      </w:r>
    </w:p>
    <w:p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  <w:r w:rsidR="00796CB1">
        <w:rPr>
          <w:rFonts w:asciiTheme="majorHAnsi" w:hAnsiTheme="majorHAnsi" w:cs="Times New Roman"/>
          <w:sz w:val="20"/>
          <w:szCs w:val="20"/>
        </w:rPr>
        <w:br/>
      </w:r>
    </w:p>
    <w:p w:rsidR="00FB42F8" w:rsidRPr="00944D39" w:rsidRDefault="00222C41" w:rsidP="00944D39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C37874" w:rsidRDefault="00C37874" w:rsidP="00C37874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C06D37" w:rsidRPr="00877C7C" w:rsidRDefault="00C37874" w:rsidP="00877C7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C06D37" w:rsidRPr="0007399D" w:rsidTr="00C77382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FE086E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Kunskap och förståelse</w:t>
            </w:r>
          </w:p>
        </w:tc>
      </w:tr>
      <w:tr w:rsidR="00C06D37" w:rsidRPr="00C77382" w:rsidTr="00C77382">
        <w:tc>
          <w:tcPr>
            <w:tcW w:w="9056" w:type="dxa"/>
          </w:tcPr>
          <w:p w:rsidR="007730F7" w:rsidRPr="00C77382" w:rsidRDefault="00C06D3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C773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="00C77382" w:rsidRPr="00C77382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visar grundläggande kunskap om hur man anpassar undervisningen till styrdokumentens direktiv och behoven hos aktuell elevgrupp</w:t>
            </w:r>
          </w:p>
        </w:tc>
      </w:tr>
      <w:tr w:rsidR="00C06D37" w:rsidRPr="0007399D" w:rsidTr="00D42483">
        <w:tc>
          <w:tcPr>
            <w:tcW w:w="9282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515A4B" w:rsidRDefault="00C06D37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:rsidTr="00D42483">
        <w:trPr>
          <w:trHeight w:val="674"/>
        </w:trPr>
        <w:tc>
          <w:tcPr>
            <w:tcW w:w="9282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77382" w:rsidRPr="00C77382" w:rsidTr="0035444D">
        <w:tc>
          <w:tcPr>
            <w:tcW w:w="9282" w:type="dxa"/>
          </w:tcPr>
          <w:p w:rsidR="00C77382" w:rsidRPr="00C77382" w:rsidRDefault="00C77382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Studenten visar </w:t>
            </w:r>
            <w:r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grundläggande kunskap om hur elevers ämneskunskaper formativt kan bedömas</w:t>
            </w:r>
          </w:p>
        </w:tc>
      </w:tr>
      <w:tr w:rsidR="00C77382" w:rsidRPr="0007399D" w:rsidTr="00C77382">
        <w:tc>
          <w:tcPr>
            <w:tcW w:w="9056" w:type="dxa"/>
          </w:tcPr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77382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35444D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FE086E" w:rsidRPr="00515A4B" w:rsidRDefault="00FE086E" w:rsidP="0035444D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77382" w:rsidRPr="0007399D" w:rsidTr="00C77382">
        <w:trPr>
          <w:trHeight w:val="674"/>
        </w:trPr>
        <w:tc>
          <w:tcPr>
            <w:tcW w:w="9056" w:type="dxa"/>
          </w:tcPr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77382" w:rsidRPr="0007399D" w:rsidRDefault="00C77382" w:rsidP="003544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06D37" w:rsidRPr="0007399D" w:rsidTr="00796CB1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lastRenderedPageBreak/>
              <w:t>Färdighet och förmåga</w:t>
            </w:r>
          </w:p>
          <w:p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:rsidTr="00796CB1">
        <w:tc>
          <w:tcPr>
            <w:tcW w:w="9056" w:type="dxa"/>
          </w:tcPr>
          <w:p w:rsidR="00C06D37" w:rsidRPr="00C77382" w:rsidRDefault="007730F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</w:t>
            </w:r>
            <w:r w:rsidR="00757CEF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6CB1" w:rsidRPr="00C77382">
              <w:rPr>
                <w:rFonts w:ascii="Calibri" w:hAnsi="Calibri" w:cs="Calibri"/>
                <w:b/>
                <w:sz w:val="20"/>
                <w:szCs w:val="20"/>
              </w:rPr>
              <w:t>kan</w:t>
            </w:r>
            <w:r w:rsidR="00AC065A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77382"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i skolpraktiken kunna omsätta och kommunicera de kunskaper i såväl utbildningsvetenskap som ämnesteori och ämnesdidaktik som förvärvats under tidigare studier</w:t>
            </w:r>
          </w:p>
        </w:tc>
      </w:tr>
      <w:tr w:rsidR="00C06D37" w:rsidRPr="0007399D" w:rsidTr="00796CB1">
        <w:tc>
          <w:tcPr>
            <w:tcW w:w="9056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7382" w:rsidRPr="0007399D" w:rsidRDefault="00C7738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Pr="0007399D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796CB1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730F7" w:rsidRPr="007730F7" w:rsidTr="007730F7">
        <w:tc>
          <w:tcPr>
            <w:tcW w:w="9056" w:type="dxa"/>
          </w:tcPr>
          <w:p w:rsidR="00C06D37" w:rsidRPr="00C77382" w:rsidRDefault="00C06D37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Studenten </w:t>
            </w:r>
            <w:r w:rsidR="00C77382"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kan planera, genomföra och reflektera kring undervisning utifrån verksamhetens mål och aktuella elevgruppers förkunskaper och förutsättningar</w:t>
            </w:r>
          </w:p>
        </w:tc>
      </w:tr>
      <w:tr w:rsidR="00C06D37" w:rsidRPr="0007399D" w:rsidTr="007730F7">
        <w:tc>
          <w:tcPr>
            <w:tcW w:w="9056" w:type="dxa"/>
          </w:tcPr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7730F7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77382" w:rsidRDefault="00C77382" w:rsidP="00C06D37">
      <w:pPr>
        <w:rPr>
          <w:rFonts w:asciiTheme="majorHAnsi" w:hAnsiTheme="majorHAnsi"/>
          <w:b/>
          <w:sz w:val="20"/>
          <w:szCs w:val="20"/>
        </w:rPr>
      </w:pPr>
    </w:p>
    <w:p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796CB1" w:rsidRPr="007730F7" w:rsidTr="00CE5E87">
        <w:tc>
          <w:tcPr>
            <w:tcW w:w="9056" w:type="dxa"/>
          </w:tcPr>
          <w:p w:rsidR="00796CB1" w:rsidRPr="00C77382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 kan genom sitt ledarskap väcka elevers int</w:t>
            </w:r>
            <w:r w:rsidR="00C77382" w:rsidRPr="00C77382">
              <w:rPr>
                <w:rFonts w:ascii="Calibri" w:hAnsi="Calibri" w:cs="Calibri"/>
                <w:b/>
                <w:sz w:val="20"/>
                <w:szCs w:val="20"/>
              </w:rPr>
              <w:t>resse och nyfikenhet för ämnet</w:t>
            </w:r>
            <w:r w:rsidR="00C77382" w:rsidRPr="00C77382">
              <w:rPr>
                <w:rFonts w:eastAsiaTheme="minorHAnsi" w:cs="CIDFont+F2"/>
                <w:b/>
                <w:sz w:val="20"/>
                <w:szCs w:val="20"/>
              </w:rPr>
              <w:t xml:space="preserve"> samt skapa en god lärandemiljö för alla elever</w:t>
            </w:r>
          </w:p>
        </w:tc>
      </w:tr>
      <w:tr w:rsidR="00796CB1" w:rsidRPr="0007399D" w:rsidTr="00CE5E87">
        <w:tc>
          <w:tcPr>
            <w:tcW w:w="9056" w:type="dxa"/>
          </w:tcPr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6CB1" w:rsidRPr="0007399D" w:rsidTr="00CE5E87">
        <w:trPr>
          <w:trHeight w:val="674"/>
        </w:trPr>
        <w:tc>
          <w:tcPr>
            <w:tcW w:w="9056" w:type="dxa"/>
          </w:tcPr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96CB1" w:rsidRPr="0007399D" w:rsidRDefault="00796CB1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C065A" w:rsidRPr="007730F7" w:rsidTr="00AC065A">
        <w:tc>
          <w:tcPr>
            <w:tcW w:w="9056" w:type="dxa"/>
          </w:tcPr>
          <w:p w:rsidR="00AC065A" w:rsidRPr="00C77382" w:rsidRDefault="00C77382" w:rsidP="00C77382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eastAsiaTheme="minorHAnsi" w:hAnsi="Calibri" w:cs="Calibri"/>
                <w:b/>
                <w:sz w:val="20"/>
                <w:szCs w:val="20"/>
              </w:rPr>
              <w:t>Studenten kan analysera observerad undervisning utifrån ämnesteoretiska och ämnesdidaktiska kunskaper</w:t>
            </w:r>
          </w:p>
        </w:tc>
      </w:tr>
      <w:tr w:rsidR="00AC065A" w:rsidRPr="0007399D" w:rsidTr="00AC065A">
        <w:tc>
          <w:tcPr>
            <w:tcW w:w="9056" w:type="dxa"/>
          </w:tcPr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065A" w:rsidRPr="0007399D" w:rsidTr="00AC065A">
        <w:trPr>
          <w:trHeight w:val="674"/>
        </w:trPr>
        <w:tc>
          <w:tcPr>
            <w:tcW w:w="9056" w:type="dxa"/>
          </w:tcPr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AC065A" w:rsidRPr="0007399D" w:rsidRDefault="00AC065A" w:rsidP="00CE5E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77382" w:rsidRDefault="00C77382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Skrivbart fält"/>
        <w:tblDescription w:val="Skrivbart fält"/>
      </w:tblPr>
      <w:tblGrid>
        <w:gridCol w:w="9056"/>
      </w:tblGrid>
      <w:tr w:rsidR="00C06D37" w:rsidRPr="0007399D" w:rsidTr="00AC065A">
        <w:tc>
          <w:tcPr>
            <w:tcW w:w="9056" w:type="dxa"/>
            <w:shd w:val="clear" w:color="auto" w:fill="DEEAF6" w:themeFill="accent1" w:themeFillTint="33"/>
          </w:tcPr>
          <w:p w:rsidR="00C06D37" w:rsidRPr="00FE086E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086E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lastRenderedPageBreak/>
              <w:t>Värderingsförmåga och förhållningssätt</w:t>
            </w:r>
          </w:p>
          <w:p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:rsidTr="00AC065A">
        <w:tc>
          <w:tcPr>
            <w:tcW w:w="9056" w:type="dxa"/>
          </w:tcPr>
          <w:p w:rsidR="00C06D37" w:rsidRPr="00C77382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77382">
              <w:rPr>
                <w:rFonts w:ascii="Calibri" w:hAnsi="Calibri" w:cs="Calibri"/>
                <w:b/>
                <w:sz w:val="20"/>
                <w:szCs w:val="20"/>
              </w:rPr>
              <w:t>Studenten kan</w:t>
            </w:r>
            <w:r w:rsidR="0051030B"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kritiskt</w:t>
            </w:r>
            <w:r w:rsidRPr="00C77382">
              <w:rPr>
                <w:rFonts w:ascii="Calibri" w:hAnsi="Calibri" w:cs="Calibri"/>
                <w:b/>
                <w:sz w:val="20"/>
                <w:szCs w:val="20"/>
              </w:rPr>
              <w:t xml:space="preserve"> granska och värdera sin roll som pedagogisk ledare</w:t>
            </w:r>
          </w:p>
        </w:tc>
      </w:tr>
      <w:tr w:rsidR="00C06D37" w:rsidRPr="0007399D" w:rsidTr="00AC065A"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96CB1" w:rsidRPr="0007399D" w:rsidRDefault="00796CB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:rsidTr="00AC065A">
        <w:trPr>
          <w:trHeight w:val="674"/>
        </w:trPr>
        <w:tc>
          <w:tcPr>
            <w:tcW w:w="9056" w:type="dxa"/>
          </w:tcPr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D1F1F" w:rsidRPr="0007399D" w:rsidTr="003354DA">
        <w:tc>
          <w:tcPr>
            <w:tcW w:w="9056" w:type="dxa"/>
          </w:tcPr>
          <w:p w:rsidR="00BD1F1F" w:rsidRPr="003354DA" w:rsidRDefault="00796CB1" w:rsidP="00C77382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3354DA">
              <w:rPr>
                <w:rFonts w:ascii="Calibri" w:hAnsi="Calibri" w:cs="Calibri"/>
                <w:b/>
                <w:sz w:val="20"/>
                <w:szCs w:val="20"/>
              </w:rPr>
              <w:t xml:space="preserve">Studenten kan </w:t>
            </w:r>
            <w:r w:rsidR="002A22A2" w:rsidRPr="003354DA">
              <w:rPr>
                <w:rFonts w:ascii="Calibri" w:hAnsi="Calibri" w:cs="Calibri"/>
                <w:b/>
                <w:sz w:val="20"/>
                <w:szCs w:val="20"/>
              </w:rPr>
              <w:t>bemöta och interagera med elever, skolpersonal och andra intressenter på ett ansvarsfullt, respektfullt och professionellt sätt</w:t>
            </w:r>
          </w:p>
        </w:tc>
      </w:tr>
      <w:tr w:rsidR="00BD1F1F" w:rsidRPr="0007399D" w:rsidTr="003354DA">
        <w:tc>
          <w:tcPr>
            <w:tcW w:w="9056" w:type="dxa"/>
          </w:tcPr>
          <w:p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222C41" w:rsidRDefault="00222C41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C065A" w:rsidRPr="0007399D" w:rsidRDefault="00AC065A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:rsidTr="003354DA">
        <w:trPr>
          <w:trHeight w:val="674"/>
        </w:trPr>
        <w:tc>
          <w:tcPr>
            <w:tcW w:w="9056" w:type="dxa"/>
          </w:tcPr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96CB1" w:rsidRDefault="00796CB1" w:rsidP="00C37874">
      <w:pPr>
        <w:rPr>
          <w:rFonts w:asciiTheme="majorHAnsi" w:hAnsiTheme="majorHAnsi"/>
          <w:b/>
          <w:sz w:val="20"/>
          <w:szCs w:val="20"/>
        </w:rPr>
      </w:pPr>
    </w:p>
    <w:p w:rsidR="002A22A2" w:rsidRPr="001B139E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2A22A2" w:rsidRPr="0007399D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2A22A2" w:rsidRPr="0007399D" w:rsidRDefault="002A22A2" w:rsidP="002A22A2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2A22A2" w:rsidRPr="001B139E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2A22A2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2A22A2" w:rsidRPr="00327350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2A22A2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2A22A2" w:rsidRPr="0007399D" w:rsidRDefault="002A22A2" w:rsidP="002A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2A22A2" w:rsidRPr="00FF3E90" w:rsidRDefault="002A22A2" w:rsidP="002A22A2">
      <w:pPr>
        <w:rPr>
          <w:b/>
        </w:rPr>
      </w:pPr>
      <w:r>
        <w:rPr>
          <w:rFonts w:asciiTheme="majorHAnsi" w:hAnsiTheme="majorHAnsi"/>
          <w:sz w:val="20"/>
          <w:szCs w:val="20"/>
        </w:rPr>
        <w:lastRenderedPageBreak/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2A22A2" w:rsidRPr="00FF3E90" w:rsidRDefault="002A22A2" w:rsidP="002A22A2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:rsidR="002A22A2" w:rsidRDefault="002A22A2" w:rsidP="002A22A2"/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:rsidR="002A22A2" w:rsidRPr="00FF3E90" w:rsidRDefault="002A22A2" w:rsidP="002A22A2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2A22A2" w:rsidRDefault="002A22A2" w:rsidP="002A22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22A2" w:rsidRPr="00894BF0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2A22A2" w:rsidRPr="00894BF0" w:rsidRDefault="002A22A2" w:rsidP="002A22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2A22A2" w:rsidRPr="005B1C86" w:rsidRDefault="002A22A2" w:rsidP="002A22A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2A22A2" w:rsidRPr="00BC0B41" w:rsidRDefault="002A22A2" w:rsidP="002A22A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2A22A2" w:rsidRPr="00FF3E90" w:rsidRDefault="002A22A2" w:rsidP="002A22A2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2A22A2" w:rsidRDefault="002A22A2" w:rsidP="002A22A2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2A22A2" w:rsidRPr="00A3739A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2A22A2" w:rsidRDefault="002A22A2" w:rsidP="002A22A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2A22A2" w:rsidRPr="005B1C86" w:rsidRDefault="002A22A2" w:rsidP="002A22A2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2A22A2" w:rsidRPr="00515C6D" w:rsidRDefault="002A22A2" w:rsidP="002A22A2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</w:t>
      </w:r>
      <w:r w:rsidRPr="00894BF0">
        <w:rPr>
          <w:sz w:val="22"/>
          <w:szCs w:val="22"/>
        </w:rPr>
        <w:lastRenderedPageBreak/>
        <w:t xml:space="preserve">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2A22A2" w:rsidRPr="00894BF0" w:rsidRDefault="002A22A2" w:rsidP="002A22A2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2A22A2" w:rsidRDefault="002A22A2" w:rsidP="002A22A2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BC0B41" w:rsidRDefault="002A22A2" w:rsidP="002A22A2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2A22A2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2A22A2" w:rsidRPr="005B1C86" w:rsidRDefault="002A22A2" w:rsidP="002A22A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2A22A2" w:rsidRDefault="002A22A2" w:rsidP="002A22A2"/>
    <w:p w:rsidR="002A22A2" w:rsidRPr="006A391B" w:rsidRDefault="002A22A2" w:rsidP="002A22A2"/>
    <w:p w:rsidR="00DF3E4A" w:rsidRDefault="00DF3E4A" w:rsidP="002A22A2"/>
    <w:sectPr w:rsidR="00DF3E4A" w:rsidSect="000911D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C6" w:rsidRDefault="007F4DC6">
      <w:r>
        <w:separator/>
      </w:r>
    </w:p>
  </w:endnote>
  <w:endnote w:type="continuationSeparator" w:id="0">
    <w:p w:rsidR="007F4DC6" w:rsidRDefault="007F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6559"/>
      <w:docPartObj>
        <w:docPartGallery w:val="Page Numbers (Bottom of Page)"/>
        <w:docPartUnique/>
      </w:docPartObj>
    </w:sdtPr>
    <w:sdtEndPr/>
    <w:sdtContent>
      <w:p w:rsidR="00222C41" w:rsidRDefault="00222C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D7">
          <w:rPr>
            <w:noProof/>
          </w:rPr>
          <w:t>1</w:t>
        </w:r>
        <w:r>
          <w:fldChar w:fldCharType="end"/>
        </w:r>
      </w:p>
    </w:sdtContent>
  </w:sdt>
  <w:p w:rsidR="00222C41" w:rsidRDefault="00222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C6" w:rsidRDefault="007F4DC6">
      <w:r>
        <w:separator/>
      </w:r>
    </w:p>
  </w:footnote>
  <w:footnote w:type="continuationSeparator" w:id="0">
    <w:p w:rsidR="007F4DC6" w:rsidRDefault="007F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7F4DC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11AC0" w:rsidRDefault="007F4DC6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3B55E9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7F4DC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7F4DC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11AC0" w:rsidRDefault="007F4DC6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7F4DC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811AC0" w:rsidRDefault="007F4D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811AC0" w:rsidRPr="00706A68" w:rsidRDefault="003B55E9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24ECF59" wp14:editId="447556F5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811AC0" w:rsidRPr="001C14F9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811AC0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811AC0" w:rsidRDefault="007F4DC6" w:rsidP="005C049C">
          <w:pPr>
            <w:rPr>
              <w:b/>
            </w:rPr>
          </w:pPr>
        </w:p>
        <w:p w:rsidR="00811AC0" w:rsidRDefault="007F4DC6" w:rsidP="005C049C">
          <w:pPr>
            <w:rPr>
              <w:b/>
            </w:rPr>
          </w:pPr>
        </w:p>
        <w:p w:rsidR="00811AC0" w:rsidRPr="001C14F9" w:rsidRDefault="007F4DC6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:rsidR="00811AC0" w:rsidRPr="001C14F9" w:rsidRDefault="007F4DC6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811AC0" w:rsidRPr="001C14F9" w:rsidRDefault="00C37874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</w:tc>
    </w:tr>
  </w:tbl>
  <w:p w:rsidR="00811AC0" w:rsidRDefault="007F4D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045"/>
    <w:multiLevelType w:val="hybridMultilevel"/>
    <w:tmpl w:val="E87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5"/>
    <w:multiLevelType w:val="hybridMultilevel"/>
    <w:tmpl w:val="FDB48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99D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99E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356F"/>
    <w:multiLevelType w:val="hybridMultilevel"/>
    <w:tmpl w:val="21447AF4"/>
    <w:lvl w:ilvl="0" w:tplc="DA8E22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BB4"/>
    <w:multiLevelType w:val="hybridMultilevel"/>
    <w:tmpl w:val="374EFA5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1E8"/>
    <w:multiLevelType w:val="hybridMultilevel"/>
    <w:tmpl w:val="16F06D66"/>
    <w:lvl w:ilvl="0" w:tplc="158AA6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B4C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1982"/>
    <w:multiLevelType w:val="hybridMultilevel"/>
    <w:tmpl w:val="0C86AFD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1FA"/>
    <w:multiLevelType w:val="hybridMultilevel"/>
    <w:tmpl w:val="7076F06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4B6"/>
    <w:multiLevelType w:val="hybridMultilevel"/>
    <w:tmpl w:val="1E4CB25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7"/>
    <w:rsid w:val="000252EE"/>
    <w:rsid w:val="00042A37"/>
    <w:rsid w:val="00120147"/>
    <w:rsid w:val="0013299A"/>
    <w:rsid w:val="00190A6A"/>
    <w:rsid w:val="001A056D"/>
    <w:rsid w:val="001C1945"/>
    <w:rsid w:val="001D6955"/>
    <w:rsid w:val="001E108C"/>
    <w:rsid w:val="001E44D7"/>
    <w:rsid w:val="001F31FD"/>
    <w:rsid w:val="00222C41"/>
    <w:rsid w:val="002A22A2"/>
    <w:rsid w:val="002A4CBE"/>
    <w:rsid w:val="002F2975"/>
    <w:rsid w:val="00302553"/>
    <w:rsid w:val="003052B6"/>
    <w:rsid w:val="00321BEA"/>
    <w:rsid w:val="003354DA"/>
    <w:rsid w:val="00357F32"/>
    <w:rsid w:val="00364780"/>
    <w:rsid w:val="00384F6A"/>
    <w:rsid w:val="00390155"/>
    <w:rsid w:val="003B3DD8"/>
    <w:rsid w:val="003B55E9"/>
    <w:rsid w:val="003E173A"/>
    <w:rsid w:val="00414B8C"/>
    <w:rsid w:val="004804FD"/>
    <w:rsid w:val="004C2873"/>
    <w:rsid w:val="0051030B"/>
    <w:rsid w:val="005424AD"/>
    <w:rsid w:val="00544FBD"/>
    <w:rsid w:val="00575387"/>
    <w:rsid w:val="00597A16"/>
    <w:rsid w:val="005D01FA"/>
    <w:rsid w:val="006002C2"/>
    <w:rsid w:val="00605E7A"/>
    <w:rsid w:val="006471A7"/>
    <w:rsid w:val="006E43FC"/>
    <w:rsid w:val="007238C4"/>
    <w:rsid w:val="00757CEF"/>
    <w:rsid w:val="007730F7"/>
    <w:rsid w:val="00796CB1"/>
    <w:rsid w:val="00797D64"/>
    <w:rsid w:val="007F4DC6"/>
    <w:rsid w:val="008538CE"/>
    <w:rsid w:val="00877C7C"/>
    <w:rsid w:val="00944D39"/>
    <w:rsid w:val="009B4878"/>
    <w:rsid w:val="00AA6B52"/>
    <w:rsid w:val="00AC065A"/>
    <w:rsid w:val="00B21919"/>
    <w:rsid w:val="00B239CD"/>
    <w:rsid w:val="00B34F3F"/>
    <w:rsid w:val="00BA3D4E"/>
    <w:rsid w:val="00BB162F"/>
    <w:rsid w:val="00BD1F1F"/>
    <w:rsid w:val="00C06D37"/>
    <w:rsid w:val="00C33004"/>
    <w:rsid w:val="00C37874"/>
    <w:rsid w:val="00C57D12"/>
    <w:rsid w:val="00C77382"/>
    <w:rsid w:val="00D74BA9"/>
    <w:rsid w:val="00D75138"/>
    <w:rsid w:val="00DF3E4A"/>
    <w:rsid w:val="00E2700B"/>
    <w:rsid w:val="00ED6669"/>
    <w:rsid w:val="00F23F65"/>
    <w:rsid w:val="00F40918"/>
    <w:rsid w:val="00F712E7"/>
    <w:rsid w:val="00F80E78"/>
    <w:rsid w:val="00FB4168"/>
    <w:rsid w:val="00FB42F8"/>
    <w:rsid w:val="00FD058E"/>
    <w:rsid w:val="00FE086E"/>
    <w:rsid w:val="00FE111C"/>
    <w:rsid w:val="00FE1A60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0439ED-FF5D-403B-BFB2-B7CFBBC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2C41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C41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D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6D3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06D3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06D3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C06D37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06D37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06D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CE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CEF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72"/>
    <w:qFormat/>
    <w:rsid w:val="00FE1A6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874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22C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2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2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Wilhelmsson</dc:creator>
  <cp:lastModifiedBy>Marie Oskarsson</cp:lastModifiedBy>
  <cp:revision>2</cp:revision>
  <cp:lastPrinted>2014-09-02T12:52:00Z</cp:lastPrinted>
  <dcterms:created xsi:type="dcterms:W3CDTF">2020-12-08T11:48:00Z</dcterms:created>
  <dcterms:modified xsi:type="dcterms:W3CDTF">2020-12-08T11:48:00Z</dcterms:modified>
</cp:coreProperties>
</file>